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B04A1C" w:rsidRPr="006E4DD3" w:rsidTr="00BD7BDF">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B04A1C" w:rsidRPr="006E4DD3" w:rsidRDefault="00B04A1C" w:rsidP="00BD7BDF">
            <w:pPr>
              <w:rPr>
                <w:rFonts w:cs="Arial"/>
                <w:sz w:val="32"/>
                <w:szCs w:val="32"/>
              </w:rPr>
            </w:pPr>
            <w:r w:rsidRPr="006E4DD3">
              <w:rPr>
                <w:rFonts w:cs="Arial"/>
                <w:sz w:val="32"/>
                <w:szCs w:val="32"/>
              </w:rPr>
              <w:br w:type="page"/>
            </w:r>
            <w:r>
              <w:rPr>
                <w:rFonts w:cs="Arial"/>
                <w:noProof/>
                <w:sz w:val="32"/>
                <w:szCs w:val="32"/>
              </w:rPr>
              <w:drawing>
                <wp:inline distT="0" distB="0" distL="0" distR="0" wp14:anchorId="6D98C73D" wp14:editId="1920597C">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6" r:link="rId7"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B04A1C" w:rsidRPr="006E4DD3" w:rsidRDefault="00B04A1C" w:rsidP="00BD7BDF">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021467" w:rsidRDefault="00021467" w:rsidP="00021467">
      <w:pPr>
        <w:rPr>
          <w:rFonts w:ascii="Cambria" w:hAnsi="Cambria"/>
          <w:sz w:val="28"/>
          <w:szCs w:val="28"/>
        </w:rPr>
      </w:pPr>
    </w:p>
    <w:p w:rsidR="00021467" w:rsidRDefault="00021467" w:rsidP="00021467">
      <w:pPr>
        <w:jc w:val="center"/>
        <w:rPr>
          <w:rFonts w:ascii="Cambria" w:hAnsi="Cambria"/>
          <w:b/>
          <w:bCs/>
          <w:sz w:val="28"/>
          <w:szCs w:val="28"/>
          <w:u w:val="single"/>
        </w:rPr>
      </w:pPr>
      <w:r>
        <w:rPr>
          <w:rFonts w:ascii="Cambria" w:hAnsi="Cambria"/>
          <w:b/>
          <w:bCs/>
          <w:sz w:val="28"/>
          <w:szCs w:val="28"/>
          <w:u w:val="single"/>
        </w:rPr>
        <w:t>PRESS RELEASE</w:t>
      </w:r>
    </w:p>
    <w:p w:rsidR="00021467" w:rsidRDefault="00021467" w:rsidP="00021467">
      <w:pPr>
        <w:rPr>
          <w:rFonts w:ascii="Cambria" w:hAnsi="Cambria"/>
          <w:b/>
          <w:bCs/>
          <w:sz w:val="28"/>
          <w:szCs w:val="28"/>
        </w:rPr>
      </w:pPr>
    </w:p>
    <w:p w:rsidR="00021467" w:rsidRDefault="00021467" w:rsidP="00021467">
      <w:pPr>
        <w:jc w:val="both"/>
        <w:rPr>
          <w:rFonts w:ascii="Cambria" w:hAnsi="Cambria"/>
          <w:sz w:val="28"/>
          <w:szCs w:val="28"/>
        </w:rPr>
      </w:pPr>
      <w:r>
        <w:rPr>
          <w:rFonts w:ascii="Cambria" w:hAnsi="Cambria"/>
          <w:sz w:val="28"/>
          <w:szCs w:val="28"/>
        </w:rPr>
        <w:t>            Indian Embassy extends all help and assistance to its community in timely and satisfactory manner.  Majority of the services sought by Indian community are related to passport and attestation matters.  In 2016, Embassy rendered more than 95,000 attestation services.  The procedure for attestation services is given below:</w:t>
      </w:r>
    </w:p>
    <w:p w:rsidR="00021467" w:rsidRDefault="00021467" w:rsidP="00021467">
      <w:pPr>
        <w:rPr>
          <w:rFonts w:ascii="Cambria" w:hAnsi="Cambria"/>
          <w:b/>
          <w:bCs/>
          <w:sz w:val="28"/>
          <w:szCs w:val="28"/>
        </w:rPr>
      </w:pPr>
    </w:p>
    <w:p w:rsidR="00021467" w:rsidRDefault="00021467" w:rsidP="00021467">
      <w:pPr>
        <w:pStyle w:val="ListParagraph"/>
        <w:numPr>
          <w:ilvl w:val="0"/>
          <w:numId w:val="1"/>
        </w:numPr>
        <w:spacing w:after="0" w:line="240" w:lineRule="auto"/>
        <w:ind w:left="2160" w:hanging="1080"/>
        <w:rPr>
          <w:rFonts w:ascii="Cambria" w:hAnsi="Cambria"/>
          <w:sz w:val="28"/>
          <w:szCs w:val="28"/>
        </w:rPr>
      </w:pPr>
      <w:r>
        <w:rPr>
          <w:rFonts w:ascii="Cambria" w:hAnsi="Cambria"/>
          <w:b/>
          <w:bCs/>
          <w:sz w:val="28"/>
          <w:szCs w:val="28"/>
          <w:u w:val="single"/>
        </w:rPr>
        <w:t>ATTESTATION SERVICES</w:t>
      </w:r>
    </w:p>
    <w:p w:rsidR="00021467" w:rsidRDefault="00021467" w:rsidP="00021467">
      <w:pPr>
        <w:pStyle w:val="ListParagraph"/>
        <w:spacing w:after="0" w:line="240" w:lineRule="auto"/>
        <w:ind w:left="1080"/>
        <w:jc w:val="both"/>
        <w:rPr>
          <w:rFonts w:ascii="Cambria" w:hAnsi="Cambria"/>
          <w:sz w:val="28"/>
          <w:szCs w:val="28"/>
        </w:rPr>
      </w:pPr>
    </w:p>
    <w:p w:rsidR="00B04A1C" w:rsidRPr="00B04A1C" w:rsidRDefault="00021467" w:rsidP="00B04A1C">
      <w:pPr>
        <w:pStyle w:val="ListParagraph"/>
        <w:numPr>
          <w:ilvl w:val="0"/>
          <w:numId w:val="2"/>
        </w:numPr>
        <w:spacing w:after="0" w:line="240" w:lineRule="auto"/>
        <w:jc w:val="both"/>
        <w:rPr>
          <w:rFonts w:ascii="Cambria" w:hAnsi="Cambria"/>
          <w:sz w:val="28"/>
          <w:szCs w:val="28"/>
        </w:rPr>
      </w:pPr>
      <w:r w:rsidRPr="00B04A1C">
        <w:rPr>
          <w:rFonts w:ascii="Cambria" w:hAnsi="Cambria"/>
          <w:b/>
          <w:bCs/>
          <w:sz w:val="28"/>
          <w:szCs w:val="28"/>
        </w:rPr>
        <w:t>Marriage certificate</w:t>
      </w:r>
      <w:r w:rsidRPr="00B04A1C">
        <w:rPr>
          <w:rFonts w:ascii="Cambria" w:hAnsi="Cambria"/>
          <w:sz w:val="28"/>
          <w:szCs w:val="28"/>
        </w:rPr>
        <w:t xml:space="preserve">:          Bilingual MC (English-Arabic) is issued on the basis of MC issued by Registrar of Marriages of the concerned State in India.  If the MC is digital, i.e., available online, then no attestations from State Home Department/Ministry of External Affairs are required.  Otherwise, the MC has to be attested by the concerned State Home Department as well as Attestation Cell of Ministry of External Affairs.  Charges are KD 6.750. </w:t>
      </w:r>
    </w:p>
    <w:p w:rsidR="00B04A1C" w:rsidRPr="00B04A1C" w:rsidRDefault="00B04A1C" w:rsidP="00021467">
      <w:pPr>
        <w:pStyle w:val="ListParagraph"/>
        <w:numPr>
          <w:ilvl w:val="0"/>
          <w:numId w:val="2"/>
        </w:numPr>
        <w:tabs>
          <w:tab w:val="left" w:pos="735"/>
        </w:tabs>
        <w:spacing w:after="0" w:line="240" w:lineRule="auto"/>
        <w:jc w:val="both"/>
        <w:rPr>
          <w:rFonts w:ascii="Cambria" w:hAnsi="Cambria"/>
          <w:sz w:val="28"/>
          <w:szCs w:val="28"/>
        </w:rPr>
      </w:pPr>
      <w:r w:rsidRPr="00B04A1C">
        <w:rPr>
          <w:rFonts w:asciiTheme="majorHAnsi" w:hAnsiTheme="majorHAnsi"/>
          <w:b/>
          <w:sz w:val="28"/>
          <w:szCs w:val="28"/>
        </w:rPr>
        <w:t>Relationship certificate:</w:t>
      </w:r>
      <w:r w:rsidRPr="00B04A1C">
        <w:rPr>
          <w:rFonts w:asciiTheme="majorHAnsi" w:hAnsiTheme="majorHAnsi"/>
          <w:sz w:val="28"/>
          <w:szCs w:val="28"/>
        </w:rPr>
        <w:t xml:space="preserve"> Bilingual RC is issued</w:t>
      </w:r>
      <w:r w:rsidRPr="00B04A1C">
        <w:rPr>
          <w:rFonts w:asciiTheme="majorHAnsi" w:hAnsiTheme="majorHAnsi"/>
          <w:sz w:val="28"/>
          <w:szCs w:val="28"/>
        </w:rPr>
        <w:t xml:space="preserve"> on the basis of entries in the </w:t>
      </w:r>
      <w:r w:rsidRPr="00B04A1C">
        <w:rPr>
          <w:rFonts w:asciiTheme="majorHAnsi" w:hAnsiTheme="majorHAnsi"/>
          <w:sz w:val="28"/>
          <w:szCs w:val="28"/>
        </w:rPr>
        <w:t>passport,</w:t>
      </w:r>
      <w:r w:rsidRPr="00B04A1C">
        <w:rPr>
          <w:rFonts w:asciiTheme="majorHAnsi" w:hAnsiTheme="majorHAnsi"/>
          <w:sz w:val="28"/>
          <w:szCs w:val="28"/>
        </w:rPr>
        <w:t xml:space="preserve"> e.g. </w:t>
      </w:r>
      <w:r w:rsidRPr="00B04A1C">
        <w:rPr>
          <w:rFonts w:asciiTheme="majorHAnsi" w:hAnsiTheme="majorHAnsi"/>
          <w:sz w:val="28"/>
          <w:szCs w:val="28"/>
        </w:rPr>
        <w:t>Mother/father/spouse/children/</w:t>
      </w:r>
      <w:r w:rsidRPr="00B04A1C">
        <w:rPr>
          <w:rFonts w:asciiTheme="majorHAnsi" w:hAnsiTheme="majorHAnsi"/>
          <w:sz w:val="28"/>
          <w:szCs w:val="28"/>
        </w:rPr>
        <w:t xml:space="preserve"> </w:t>
      </w:r>
      <w:r w:rsidRPr="00B04A1C">
        <w:rPr>
          <w:rFonts w:asciiTheme="majorHAnsi" w:hAnsiTheme="majorHAnsi"/>
          <w:sz w:val="28"/>
          <w:szCs w:val="28"/>
        </w:rPr>
        <w:t>brother/sister/in-law etc. Passport copies of all concerned are required to be enclosed. Charges are KD 6.750.</w:t>
      </w:r>
    </w:p>
    <w:p w:rsidR="00021467" w:rsidRPr="00B04A1C" w:rsidRDefault="00021467" w:rsidP="00021467">
      <w:pPr>
        <w:pStyle w:val="ListParagraph"/>
        <w:numPr>
          <w:ilvl w:val="0"/>
          <w:numId w:val="2"/>
        </w:numPr>
        <w:tabs>
          <w:tab w:val="left" w:pos="735"/>
        </w:tabs>
        <w:spacing w:after="0" w:line="240" w:lineRule="auto"/>
        <w:jc w:val="both"/>
        <w:rPr>
          <w:rFonts w:ascii="Cambria" w:hAnsi="Cambria"/>
          <w:sz w:val="28"/>
          <w:szCs w:val="28"/>
        </w:rPr>
      </w:pPr>
      <w:r w:rsidRPr="00B04A1C">
        <w:rPr>
          <w:rFonts w:ascii="Cambria" w:hAnsi="Cambria"/>
          <w:b/>
          <w:bCs/>
          <w:sz w:val="28"/>
          <w:szCs w:val="28"/>
        </w:rPr>
        <w:t xml:space="preserve">Driving </w:t>
      </w:r>
      <w:proofErr w:type="spellStart"/>
      <w:r w:rsidRPr="00B04A1C">
        <w:rPr>
          <w:rFonts w:ascii="Cambria" w:hAnsi="Cambria"/>
          <w:b/>
          <w:bCs/>
          <w:sz w:val="28"/>
          <w:szCs w:val="28"/>
        </w:rPr>
        <w:t>licence</w:t>
      </w:r>
      <w:proofErr w:type="spellEnd"/>
      <w:r w:rsidRPr="00B04A1C">
        <w:rPr>
          <w:rFonts w:ascii="Cambria" w:hAnsi="Cambria"/>
          <w:sz w:val="28"/>
          <w:szCs w:val="28"/>
        </w:rPr>
        <w:t>:        Bilingual driving license certificate is issued on the basis of production of valid Indian driving license.  Charges are KD 6.750.</w:t>
      </w:r>
    </w:p>
    <w:p w:rsidR="00021467" w:rsidRDefault="00021467" w:rsidP="00B04A1C">
      <w:pPr>
        <w:pStyle w:val="ListParagraph"/>
        <w:numPr>
          <w:ilvl w:val="0"/>
          <w:numId w:val="2"/>
        </w:numPr>
        <w:spacing w:after="0" w:line="240" w:lineRule="auto"/>
        <w:jc w:val="both"/>
        <w:rPr>
          <w:rFonts w:ascii="Cambria" w:hAnsi="Cambria"/>
          <w:sz w:val="28"/>
          <w:szCs w:val="28"/>
        </w:rPr>
      </w:pPr>
      <w:r>
        <w:rPr>
          <w:rFonts w:ascii="Cambria" w:hAnsi="Cambria"/>
          <w:b/>
          <w:bCs/>
          <w:sz w:val="28"/>
          <w:szCs w:val="28"/>
        </w:rPr>
        <w:t>Educational certificates</w:t>
      </w:r>
      <w:r>
        <w:rPr>
          <w:rFonts w:ascii="Cambria" w:hAnsi="Cambria"/>
          <w:sz w:val="28"/>
          <w:szCs w:val="28"/>
        </w:rPr>
        <w:t xml:space="preserve">: Indian educational certificates are required to be attested by concerned State Education/Human Resource Department and Ministry of External </w:t>
      </w:r>
      <w:r w:rsidRPr="00B04A1C">
        <w:rPr>
          <w:rFonts w:ascii="Cambria" w:hAnsi="Cambria"/>
          <w:sz w:val="28"/>
          <w:szCs w:val="28"/>
        </w:rPr>
        <w:t>Affairs.  Charges are KD 3.750.</w:t>
      </w:r>
    </w:p>
    <w:p w:rsidR="00021467" w:rsidRDefault="00021467" w:rsidP="00021467">
      <w:pPr>
        <w:pStyle w:val="ListParagraph"/>
        <w:numPr>
          <w:ilvl w:val="0"/>
          <w:numId w:val="2"/>
        </w:numPr>
        <w:spacing w:after="0" w:line="240" w:lineRule="auto"/>
        <w:jc w:val="both"/>
        <w:rPr>
          <w:rFonts w:ascii="Cambria" w:hAnsi="Cambria"/>
          <w:sz w:val="28"/>
          <w:szCs w:val="28"/>
        </w:rPr>
      </w:pPr>
      <w:r>
        <w:rPr>
          <w:rFonts w:ascii="Cambria" w:hAnsi="Cambria"/>
          <w:b/>
          <w:bCs/>
          <w:sz w:val="28"/>
          <w:szCs w:val="28"/>
        </w:rPr>
        <w:t>General Power of Attorney</w:t>
      </w:r>
      <w:r>
        <w:rPr>
          <w:rFonts w:ascii="Cambria" w:hAnsi="Cambria"/>
          <w:sz w:val="28"/>
          <w:szCs w:val="28"/>
        </w:rPr>
        <w:t xml:space="preserve">:       An Indian national living in Kuwait, who wants to execute GPA/POA in </w:t>
      </w:r>
      <w:proofErr w:type="spellStart"/>
      <w:r>
        <w:rPr>
          <w:rFonts w:ascii="Cambria" w:hAnsi="Cambria"/>
          <w:sz w:val="28"/>
          <w:szCs w:val="28"/>
        </w:rPr>
        <w:t>favour</w:t>
      </w:r>
      <w:proofErr w:type="spellEnd"/>
      <w:r>
        <w:rPr>
          <w:rFonts w:ascii="Cambria" w:hAnsi="Cambria"/>
          <w:sz w:val="28"/>
          <w:szCs w:val="28"/>
        </w:rPr>
        <w:t xml:space="preserve"> of someone </w:t>
      </w:r>
      <w:r>
        <w:rPr>
          <w:rFonts w:ascii="Cambria" w:hAnsi="Cambria"/>
          <w:sz w:val="28"/>
          <w:szCs w:val="28"/>
        </w:rPr>
        <w:lastRenderedPageBreak/>
        <w:t xml:space="preserve">in India, has to submit GPA/POA in duplicate and sign in the presence of the consular officer, along with witnesses.  Original passport of the applicant and photocopy of the passport/ID of other person is required to be produced at the time of submission of application.  Charges are KD 6.750.  </w:t>
      </w:r>
    </w:p>
    <w:p w:rsidR="00021467" w:rsidRDefault="00021467" w:rsidP="00021467">
      <w:pPr>
        <w:pStyle w:val="ListParagraph"/>
        <w:spacing w:after="0" w:line="240" w:lineRule="auto"/>
        <w:ind w:left="1800"/>
        <w:jc w:val="both"/>
        <w:rPr>
          <w:rFonts w:ascii="Cambria" w:hAnsi="Cambria"/>
          <w:sz w:val="28"/>
          <w:szCs w:val="28"/>
        </w:rPr>
      </w:pPr>
      <w:r>
        <w:rPr>
          <w:rFonts w:ascii="Cambria" w:hAnsi="Cambria"/>
          <w:sz w:val="28"/>
          <w:szCs w:val="28"/>
        </w:rPr>
        <w:t xml:space="preserve">GPA/POA executed by someone who is living in India in </w:t>
      </w:r>
      <w:proofErr w:type="spellStart"/>
      <w:r>
        <w:rPr>
          <w:rFonts w:ascii="Cambria" w:hAnsi="Cambria"/>
          <w:sz w:val="28"/>
          <w:szCs w:val="28"/>
        </w:rPr>
        <w:t>favour</w:t>
      </w:r>
      <w:proofErr w:type="spellEnd"/>
      <w:r>
        <w:rPr>
          <w:rFonts w:ascii="Cambria" w:hAnsi="Cambria"/>
          <w:sz w:val="28"/>
          <w:szCs w:val="28"/>
        </w:rPr>
        <w:t xml:space="preserve"> of an Indian national who is living in Kuwait has to be attested by concerned State Home Department and Ministry of External Affairs.  </w:t>
      </w:r>
    </w:p>
    <w:p w:rsidR="00021467" w:rsidRDefault="00021467" w:rsidP="00021467">
      <w:pPr>
        <w:pStyle w:val="ListParagraph"/>
        <w:numPr>
          <w:ilvl w:val="0"/>
          <w:numId w:val="2"/>
        </w:numPr>
        <w:spacing w:after="0" w:line="240" w:lineRule="auto"/>
        <w:jc w:val="both"/>
        <w:rPr>
          <w:rFonts w:ascii="Cambria" w:hAnsi="Cambria"/>
          <w:sz w:val="28"/>
          <w:szCs w:val="28"/>
        </w:rPr>
      </w:pPr>
      <w:r>
        <w:rPr>
          <w:rFonts w:ascii="Cambria" w:hAnsi="Cambria"/>
          <w:b/>
          <w:bCs/>
          <w:sz w:val="28"/>
          <w:szCs w:val="28"/>
        </w:rPr>
        <w:t>Life Certificate for Pensioners</w:t>
      </w:r>
      <w:r>
        <w:rPr>
          <w:rFonts w:ascii="Cambria" w:hAnsi="Cambria"/>
          <w:sz w:val="28"/>
          <w:szCs w:val="28"/>
        </w:rPr>
        <w:t xml:space="preserve">:           LC is issued to holders of Pension Payment Order “GRATIS”, i.e. free of charge.  Applicant has to come in person along with his original passport and PPO.  </w:t>
      </w:r>
    </w:p>
    <w:p w:rsidR="00021467" w:rsidRDefault="00021467" w:rsidP="00021467">
      <w:pPr>
        <w:pStyle w:val="ListParagraph"/>
        <w:numPr>
          <w:ilvl w:val="0"/>
          <w:numId w:val="2"/>
        </w:numPr>
        <w:spacing w:after="0" w:line="240" w:lineRule="auto"/>
        <w:jc w:val="both"/>
        <w:rPr>
          <w:rFonts w:ascii="Cambria" w:hAnsi="Cambria"/>
          <w:sz w:val="28"/>
          <w:szCs w:val="28"/>
        </w:rPr>
      </w:pPr>
      <w:r>
        <w:rPr>
          <w:rFonts w:ascii="Cambria" w:hAnsi="Cambria"/>
          <w:b/>
          <w:bCs/>
          <w:sz w:val="28"/>
          <w:szCs w:val="28"/>
        </w:rPr>
        <w:t>Death Certificate</w:t>
      </w:r>
      <w:r>
        <w:rPr>
          <w:rFonts w:ascii="Cambria" w:hAnsi="Cambria"/>
          <w:sz w:val="28"/>
          <w:szCs w:val="28"/>
        </w:rPr>
        <w:t xml:space="preserve">:    DC is issued “GRATIS”.  It is obligatory to register the death of any Indian national in Kuwait with the Embassy.  Death certificate issued by the Birth and Death Registration Office of Kuwait and attested by Ministry of Foreign Affairs of Kuwait (along with its certified English translation) needs to be produced at the Embassy, on the basis of which, death is registered and DC issued. In case of accidental death, Police report is also required.  </w:t>
      </w:r>
    </w:p>
    <w:p w:rsidR="00021467" w:rsidRDefault="00021467" w:rsidP="00021467">
      <w:pPr>
        <w:pStyle w:val="ListParagraph"/>
        <w:numPr>
          <w:ilvl w:val="0"/>
          <w:numId w:val="2"/>
        </w:numPr>
        <w:spacing w:after="0" w:line="240" w:lineRule="auto"/>
        <w:jc w:val="both"/>
        <w:rPr>
          <w:rFonts w:ascii="Cambria" w:hAnsi="Cambria"/>
          <w:sz w:val="28"/>
          <w:szCs w:val="28"/>
        </w:rPr>
      </w:pPr>
      <w:r>
        <w:rPr>
          <w:rFonts w:ascii="Cambria" w:hAnsi="Cambria"/>
          <w:b/>
          <w:bCs/>
          <w:sz w:val="28"/>
          <w:szCs w:val="28"/>
        </w:rPr>
        <w:t>Transfer of mortal remains to India</w:t>
      </w:r>
      <w:r>
        <w:rPr>
          <w:rFonts w:ascii="Cambria" w:hAnsi="Cambria"/>
          <w:sz w:val="28"/>
          <w:szCs w:val="28"/>
        </w:rPr>
        <w:t xml:space="preserve">:           Embassy seals and certifies the coffin containing the dead body to be taken to India.  Family of the deceased has to take appointment from Sabah Hospital Mortuary.  The doctor issues three slips – for </w:t>
      </w:r>
      <w:proofErr w:type="spellStart"/>
      <w:r>
        <w:rPr>
          <w:rFonts w:ascii="Cambria" w:hAnsi="Cambria"/>
          <w:sz w:val="28"/>
          <w:szCs w:val="28"/>
        </w:rPr>
        <w:t>Farwaniya</w:t>
      </w:r>
      <w:proofErr w:type="spellEnd"/>
      <w:r>
        <w:rPr>
          <w:rFonts w:ascii="Cambria" w:hAnsi="Cambria"/>
          <w:sz w:val="28"/>
          <w:szCs w:val="28"/>
        </w:rPr>
        <w:t xml:space="preserve"> Mortuary, for in-charge of coffin and Indian Embassy.  Once the airline ticket is confirmed, family should approach Embassy along with doctor’s slip for sealing the coffin.  </w:t>
      </w:r>
    </w:p>
    <w:p w:rsidR="00021467" w:rsidRDefault="00021467" w:rsidP="00021467">
      <w:pPr>
        <w:pStyle w:val="ListParagraph"/>
        <w:numPr>
          <w:ilvl w:val="0"/>
          <w:numId w:val="2"/>
        </w:numPr>
        <w:spacing w:after="0" w:line="240" w:lineRule="auto"/>
        <w:jc w:val="both"/>
        <w:rPr>
          <w:rFonts w:ascii="Cambria" w:hAnsi="Cambria"/>
          <w:sz w:val="28"/>
          <w:szCs w:val="28"/>
        </w:rPr>
      </w:pPr>
      <w:r>
        <w:rPr>
          <w:rFonts w:ascii="Cambria" w:hAnsi="Cambria"/>
          <w:b/>
          <w:bCs/>
          <w:sz w:val="28"/>
          <w:szCs w:val="28"/>
        </w:rPr>
        <w:t>General attestation of documents</w:t>
      </w:r>
      <w:r>
        <w:rPr>
          <w:rFonts w:ascii="Cambria" w:hAnsi="Cambria"/>
          <w:sz w:val="28"/>
          <w:szCs w:val="28"/>
        </w:rPr>
        <w:t xml:space="preserve">:    True copy/photocopy attestation, affidavit of sponsorship, attestation of translation, transfer of residency affidavit, emergency leave affidavit etc. are also done.  Charges are KD 3.750.  </w:t>
      </w:r>
    </w:p>
    <w:p w:rsidR="00021467" w:rsidRDefault="00021467" w:rsidP="00021467">
      <w:pPr>
        <w:pStyle w:val="ListParagraph"/>
        <w:numPr>
          <w:ilvl w:val="0"/>
          <w:numId w:val="2"/>
        </w:numPr>
        <w:spacing w:after="0" w:line="240" w:lineRule="auto"/>
        <w:jc w:val="both"/>
        <w:rPr>
          <w:rFonts w:ascii="Cambria" w:hAnsi="Cambria"/>
          <w:sz w:val="28"/>
          <w:szCs w:val="28"/>
        </w:rPr>
      </w:pPr>
      <w:r>
        <w:rPr>
          <w:rFonts w:ascii="Cambria" w:hAnsi="Cambria"/>
          <w:b/>
          <w:bCs/>
          <w:sz w:val="28"/>
          <w:szCs w:val="28"/>
        </w:rPr>
        <w:t>Commercial documents</w:t>
      </w:r>
      <w:r>
        <w:rPr>
          <w:rFonts w:ascii="Cambria" w:hAnsi="Cambria"/>
          <w:sz w:val="28"/>
          <w:szCs w:val="28"/>
        </w:rPr>
        <w:t xml:space="preserve">: All commercial/company documents are required to be attested by Chamber of Commerce of Kuwait and Ministry of Foreign Affairs of Kuwait before they can be attested by this Embassy.  Charges are KD 15.800.  </w:t>
      </w:r>
    </w:p>
    <w:p w:rsidR="00021467" w:rsidRDefault="00021467" w:rsidP="00021467">
      <w:pPr>
        <w:pStyle w:val="ListParagraph"/>
        <w:numPr>
          <w:ilvl w:val="0"/>
          <w:numId w:val="2"/>
        </w:numPr>
        <w:spacing w:after="0" w:line="240" w:lineRule="auto"/>
        <w:jc w:val="both"/>
        <w:rPr>
          <w:rFonts w:ascii="Cambria" w:hAnsi="Cambria"/>
          <w:sz w:val="28"/>
          <w:szCs w:val="28"/>
        </w:rPr>
      </w:pPr>
      <w:r>
        <w:rPr>
          <w:rFonts w:ascii="Cambria" w:hAnsi="Cambria"/>
          <w:b/>
          <w:bCs/>
          <w:sz w:val="28"/>
          <w:szCs w:val="28"/>
        </w:rPr>
        <w:lastRenderedPageBreak/>
        <w:t>Salary Certificate/Work Permit</w:t>
      </w:r>
      <w:r>
        <w:rPr>
          <w:rFonts w:ascii="Cambria" w:hAnsi="Cambria"/>
          <w:sz w:val="28"/>
          <w:szCs w:val="28"/>
        </w:rPr>
        <w:t xml:space="preserve">:        Attestation of salary certificate and work permits are also done as per procedure laid above at Sl. No. (ix). </w:t>
      </w:r>
    </w:p>
    <w:p w:rsidR="00021467" w:rsidRDefault="00021467" w:rsidP="00021467">
      <w:pPr>
        <w:jc w:val="both"/>
        <w:rPr>
          <w:rFonts w:ascii="Cambria" w:hAnsi="Cambria"/>
          <w:sz w:val="28"/>
          <w:szCs w:val="28"/>
        </w:rPr>
      </w:pPr>
    </w:p>
    <w:p w:rsidR="00021467" w:rsidRDefault="00021467" w:rsidP="00021467">
      <w:pPr>
        <w:jc w:val="both"/>
        <w:rPr>
          <w:rFonts w:ascii="Cambria" w:hAnsi="Cambria"/>
          <w:sz w:val="28"/>
          <w:szCs w:val="28"/>
        </w:rPr>
      </w:pPr>
      <w:r>
        <w:rPr>
          <w:rFonts w:ascii="Cambria" w:hAnsi="Cambria"/>
          <w:sz w:val="28"/>
          <w:szCs w:val="28"/>
        </w:rPr>
        <w:t xml:space="preserve">2.        For any clarifications on the above, please send email to Attaché (Consular) at </w:t>
      </w:r>
      <w:hyperlink r:id="rId8" w:history="1">
        <w:r>
          <w:rPr>
            <w:rStyle w:val="Hyperlink"/>
            <w:rFonts w:ascii="Cambria" w:hAnsi="Cambria"/>
            <w:b/>
            <w:bCs/>
            <w:color w:val="auto"/>
            <w:sz w:val="28"/>
            <w:szCs w:val="28"/>
            <w:u w:val="none"/>
          </w:rPr>
          <w:t>attachecons@indembkwt.org</w:t>
        </w:r>
      </w:hyperlink>
      <w:r>
        <w:rPr>
          <w:rFonts w:ascii="Cambria" w:hAnsi="Cambria"/>
          <w:sz w:val="28"/>
          <w:szCs w:val="28"/>
        </w:rPr>
        <w:t xml:space="preserve"> and </w:t>
      </w:r>
      <w:hyperlink r:id="rId9" w:history="1">
        <w:proofErr w:type="spellStart"/>
        <w:r>
          <w:rPr>
            <w:rStyle w:val="Hyperlink"/>
            <w:rFonts w:ascii="Cambria" w:hAnsi="Cambria"/>
            <w:b/>
            <w:bCs/>
            <w:color w:val="auto"/>
            <w:sz w:val="28"/>
            <w:szCs w:val="28"/>
            <w:u w:val="none"/>
          </w:rPr>
          <w:t>sscons@indembkwt</w:t>
        </w:r>
        <w:proofErr w:type="spellEnd"/>
        <w:r>
          <w:rPr>
            <w:rStyle w:val="Hyperlink"/>
            <w:rFonts w:ascii="Cambria" w:hAnsi="Cambria"/>
            <w:b/>
            <w:bCs/>
            <w:color w:val="auto"/>
            <w:sz w:val="28"/>
            <w:szCs w:val="28"/>
            <w:u w:val="none"/>
          </w:rPr>
          <w:t>.</w:t>
        </w:r>
        <w:r w:rsidR="00B04A1C">
          <w:rPr>
            <w:rStyle w:val="Hyperlink"/>
            <w:rFonts w:ascii="Cambria" w:hAnsi="Cambria"/>
            <w:b/>
            <w:bCs/>
            <w:color w:val="auto"/>
            <w:sz w:val="28"/>
            <w:szCs w:val="28"/>
            <w:u w:val="none"/>
          </w:rPr>
          <w:t xml:space="preserve"> </w:t>
        </w:r>
        <w:bookmarkStart w:id="0" w:name="_GoBack"/>
        <w:bookmarkEnd w:id="0"/>
        <w:r>
          <w:rPr>
            <w:rStyle w:val="Hyperlink"/>
            <w:rFonts w:ascii="Cambria" w:hAnsi="Cambria"/>
            <w:b/>
            <w:bCs/>
            <w:color w:val="auto"/>
            <w:sz w:val="28"/>
            <w:szCs w:val="28"/>
            <w:u w:val="none"/>
          </w:rPr>
          <w:t>org</w:t>
        </w:r>
      </w:hyperlink>
      <w:r>
        <w:rPr>
          <w:rFonts w:ascii="Cambria" w:hAnsi="Cambria"/>
          <w:sz w:val="28"/>
          <w:szCs w:val="28"/>
        </w:rPr>
        <w:t>.</w:t>
      </w:r>
      <w:r w:rsidR="00B04A1C">
        <w:rPr>
          <w:rFonts w:ascii="Cambria" w:hAnsi="Cambria"/>
          <w:sz w:val="28"/>
          <w:szCs w:val="28"/>
        </w:rPr>
        <w:t xml:space="preserve"> </w:t>
      </w:r>
      <w:r>
        <w:rPr>
          <w:rFonts w:ascii="Cambria" w:hAnsi="Cambria"/>
          <w:sz w:val="28"/>
          <w:szCs w:val="28"/>
        </w:rPr>
        <w:t xml:space="preserve">  Every working day, Consular Wing of the Embassy conducts Open House from 1000 </w:t>
      </w:r>
      <w:proofErr w:type="spellStart"/>
      <w:r>
        <w:rPr>
          <w:rFonts w:ascii="Cambria" w:hAnsi="Cambria"/>
          <w:sz w:val="28"/>
          <w:szCs w:val="28"/>
        </w:rPr>
        <w:t>hrs</w:t>
      </w:r>
      <w:proofErr w:type="spellEnd"/>
      <w:r>
        <w:rPr>
          <w:rFonts w:ascii="Cambria" w:hAnsi="Cambria"/>
          <w:sz w:val="28"/>
          <w:szCs w:val="28"/>
        </w:rPr>
        <w:t xml:space="preserve"> to 1100 </w:t>
      </w:r>
      <w:proofErr w:type="spellStart"/>
      <w:r>
        <w:rPr>
          <w:rFonts w:ascii="Cambria" w:hAnsi="Cambria"/>
          <w:sz w:val="28"/>
          <w:szCs w:val="28"/>
        </w:rPr>
        <w:t>hrs</w:t>
      </w:r>
      <w:proofErr w:type="spellEnd"/>
      <w:r>
        <w:rPr>
          <w:rFonts w:ascii="Cambria" w:hAnsi="Cambria"/>
          <w:sz w:val="28"/>
          <w:szCs w:val="28"/>
        </w:rPr>
        <w:t xml:space="preserve"> and 1430 </w:t>
      </w:r>
      <w:proofErr w:type="spellStart"/>
      <w:r>
        <w:rPr>
          <w:rFonts w:ascii="Cambria" w:hAnsi="Cambria"/>
          <w:sz w:val="28"/>
          <w:szCs w:val="28"/>
        </w:rPr>
        <w:t>hrs</w:t>
      </w:r>
      <w:proofErr w:type="spellEnd"/>
      <w:r>
        <w:rPr>
          <w:rFonts w:ascii="Cambria" w:hAnsi="Cambria"/>
          <w:sz w:val="28"/>
          <w:szCs w:val="28"/>
        </w:rPr>
        <w:t xml:space="preserve"> to 1500 </w:t>
      </w:r>
      <w:proofErr w:type="spellStart"/>
      <w:r>
        <w:rPr>
          <w:rFonts w:ascii="Cambria" w:hAnsi="Cambria"/>
          <w:sz w:val="28"/>
          <w:szCs w:val="28"/>
        </w:rPr>
        <w:t>hrs</w:t>
      </w:r>
      <w:proofErr w:type="spellEnd"/>
      <w:r>
        <w:rPr>
          <w:rFonts w:ascii="Cambria" w:hAnsi="Cambria"/>
          <w:sz w:val="28"/>
          <w:szCs w:val="28"/>
        </w:rPr>
        <w:t xml:space="preserve"> at the Embassy premises.  </w:t>
      </w:r>
    </w:p>
    <w:p w:rsidR="00021467" w:rsidRDefault="00021467" w:rsidP="00021467">
      <w:pPr>
        <w:pStyle w:val="ListParagraph"/>
        <w:spacing w:after="0" w:line="240" w:lineRule="auto"/>
        <w:ind w:left="1800"/>
        <w:jc w:val="right"/>
        <w:rPr>
          <w:rFonts w:ascii="Cambria" w:hAnsi="Cambria"/>
          <w:b/>
          <w:bCs/>
          <w:sz w:val="28"/>
          <w:szCs w:val="28"/>
        </w:rPr>
      </w:pPr>
    </w:p>
    <w:p w:rsidR="00021467" w:rsidRDefault="00021467" w:rsidP="00021467">
      <w:pPr>
        <w:pStyle w:val="ListParagraph"/>
        <w:spacing w:after="0" w:line="240" w:lineRule="auto"/>
        <w:ind w:left="1800"/>
        <w:jc w:val="right"/>
        <w:rPr>
          <w:rFonts w:ascii="Cambria" w:hAnsi="Cambria"/>
          <w:b/>
          <w:bCs/>
          <w:sz w:val="28"/>
          <w:szCs w:val="28"/>
        </w:rPr>
      </w:pPr>
      <w:r>
        <w:rPr>
          <w:rFonts w:ascii="Cambria" w:hAnsi="Cambria"/>
          <w:b/>
          <w:bCs/>
          <w:sz w:val="28"/>
          <w:szCs w:val="28"/>
        </w:rPr>
        <w:t>27</w:t>
      </w:r>
      <w:r>
        <w:rPr>
          <w:rFonts w:ascii="Cambria" w:hAnsi="Cambria"/>
          <w:b/>
          <w:bCs/>
          <w:sz w:val="28"/>
          <w:szCs w:val="28"/>
          <w:vertAlign w:val="superscript"/>
        </w:rPr>
        <w:t>th</w:t>
      </w:r>
      <w:r>
        <w:rPr>
          <w:rFonts w:ascii="Cambria" w:hAnsi="Cambria"/>
          <w:b/>
          <w:bCs/>
          <w:sz w:val="28"/>
          <w:szCs w:val="28"/>
        </w:rPr>
        <w:t xml:space="preserve"> July, 2017</w:t>
      </w:r>
    </w:p>
    <w:p w:rsidR="00021467" w:rsidRDefault="00021467" w:rsidP="00021467">
      <w:pPr>
        <w:pStyle w:val="ListParagraph"/>
        <w:spacing w:after="0" w:line="240" w:lineRule="auto"/>
        <w:ind w:left="1800"/>
        <w:jc w:val="right"/>
        <w:rPr>
          <w:rFonts w:ascii="Cambria" w:hAnsi="Cambria"/>
          <w:b/>
          <w:bCs/>
          <w:sz w:val="28"/>
          <w:szCs w:val="28"/>
        </w:rPr>
      </w:pPr>
    </w:p>
    <w:p w:rsidR="00021467" w:rsidRDefault="00021467" w:rsidP="00021467">
      <w:pPr>
        <w:pStyle w:val="ListParagraph"/>
        <w:spacing w:after="0" w:line="240" w:lineRule="auto"/>
        <w:ind w:left="1800"/>
        <w:jc w:val="center"/>
        <w:rPr>
          <w:rFonts w:ascii="Cambria" w:hAnsi="Cambria"/>
          <w:b/>
          <w:bCs/>
          <w:sz w:val="28"/>
          <w:szCs w:val="28"/>
        </w:rPr>
      </w:pPr>
      <w:r>
        <w:rPr>
          <w:rFonts w:ascii="Cambria" w:hAnsi="Cambria"/>
          <w:b/>
          <w:bCs/>
          <w:sz w:val="28"/>
          <w:szCs w:val="28"/>
        </w:rPr>
        <w:t>*****</w:t>
      </w:r>
    </w:p>
    <w:p w:rsidR="00021467" w:rsidRDefault="00021467" w:rsidP="00021467"/>
    <w:p w:rsidR="005149F8" w:rsidRDefault="005149F8"/>
    <w:sectPr w:rsidR="00514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4183"/>
    <w:multiLevelType w:val="hybridMultilevel"/>
    <w:tmpl w:val="42925DA0"/>
    <w:lvl w:ilvl="0" w:tplc="53927E4C">
      <w:start w:val="1"/>
      <w:numFmt w:val="upperRoman"/>
      <w:lvlText w:val="%1."/>
      <w:lvlJc w:val="left"/>
      <w:pPr>
        <w:ind w:left="72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5F91CC9"/>
    <w:multiLevelType w:val="hybridMultilevel"/>
    <w:tmpl w:val="0D62EDF4"/>
    <w:lvl w:ilvl="0" w:tplc="42809E3C">
      <w:start w:val="1"/>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90"/>
    <w:rsid w:val="00021467"/>
    <w:rsid w:val="005149F8"/>
    <w:rsid w:val="007E1A90"/>
    <w:rsid w:val="0092558A"/>
    <w:rsid w:val="00B04A1C"/>
    <w:rsid w:val="00C734CA"/>
    <w:rsid w:val="00D74939"/>
    <w:rsid w:val="00E6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467"/>
    <w:rPr>
      <w:color w:val="0000FF"/>
      <w:u w:val="single"/>
    </w:rPr>
  </w:style>
  <w:style w:type="paragraph" w:styleId="ListParagraph">
    <w:name w:val="List Paragraph"/>
    <w:basedOn w:val="Normal"/>
    <w:uiPriority w:val="34"/>
    <w:qFormat/>
    <w:rsid w:val="00021467"/>
    <w:pPr>
      <w:spacing w:after="200" w:line="276" w:lineRule="auto"/>
      <w:ind w:left="720"/>
    </w:pPr>
  </w:style>
  <w:style w:type="paragraph" w:styleId="NormalWeb">
    <w:name w:val="Normal (Web)"/>
    <w:basedOn w:val="Normal"/>
    <w:rsid w:val="00B04A1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A1C"/>
    <w:rPr>
      <w:rFonts w:ascii="Tahoma" w:hAnsi="Tahoma" w:cs="Tahoma"/>
      <w:sz w:val="16"/>
      <w:szCs w:val="16"/>
    </w:rPr>
  </w:style>
  <w:style w:type="character" w:customStyle="1" w:styleId="BalloonTextChar">
    <w:name w:val="Balloon Text Char"/>
    <w:basedOn w:val="DefaultParagraphFont"/>
    <w:link w:val="BalloonText"/>
    <w:uiPriority w:val="99"/>
    <w:semiHidden/>
    <w:rsid w:val="00B04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467"/>
    <w:rPr>
      <w:color w:val="0000FF"/>
      <w:u w:val="single"/>
    </w:rPr>
  </w:style>
  <w:style w:type="paragraph" w:styleId="ListParagraph">
    <w:name w:val="List Paragraph"/>
    <w:basedOn w:val="Normal"/>
    <w:uiPriority w:val="34"/>
    <w:qFormat/>
    <w:rsid w:val="00021467"/>
    <w:pPr>
      <w:spacing w:after="200" w:line="276" w:lineRule="auto"/>
      <w:ind w:left="720"/>
    </w:pPr>
  </w:style>
  <w:style w:type="paragraph" w:styleId="NormalWeb">
    <w:name w:val="Normal (Web)"/>
    <w:basedOn w:val="Normal"/>
    <w:rsid w:val="00B04A1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A1C"/>
    <w:rPr>
      <w:rFonts w:ascii="Tahoma" w:hAnsi="Tahoma" w:cs="Tahoma"/>
      <w:sz w:val="16"/>
      <w:szCs w:val="16"/>
    </w:rPr>
  </w:style>
  <w:style w:type="character" w:customStyle="1" w:styleId="BalloonTextChar">
    <w:name w:val="Balloon Text Char"/>
    <w:basedOn w:val="DefaultParagraphFont"/>
    <w:link w:val="BalloonText"/>
    <w:uiPriority w:val="99"/>
    <w:semiHidden/>
    <w:rsid w:val="00B04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achecons@indembkwt.org" TargetMode="External"/><Relationship Id="rId3" Type="http://schemas.microsoft.com/office/2007/relationships/stylesWithEffects" Target="stylesWithEffects.xml"/><Relationship Id="rId7" Type="http://schemas.openxmlformats.org/officeDocument/2006/relationships/image" Target="http://www.indianconsulate-sf.org/images/ashokachkr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scons@indembkw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2017-07-27T12:15:00Z</dcterms:created>
  <dcterms:modified xsi:type="dcterms:W3CDTF">2017-07-27T12:47:00Z</dcterms:modified>
</cp:coreProperties>
</file>