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EEE" w:rsidRPr="004E1AF3" w:rsidRDefault="005A4EEE" w:rsidP="005A4EEE">
      <w:pPr>
        <w:pStyle w:val="NoSpacing"/>
        <w:jc w:val="center"/>
        <w:rPr>
          <w:b/>
          <w:bCs/>
          <w:sz w:val="20"/>
          <w:szCs w:val="20"/>
        </w:rPr>
      </w:pPr>
      <w:r w:rsidRPr="004E1AF3">
        <w:rPr>
          <w:b/>
          <w:bCs/>
          <w:sz w:val="20"/>
          <w:szCs w:val="20"/>
        </w:rPr>
        <w:t>Government of India</w:t>
      </w:r>
    </w:p>
    <w:p w:rsidR="005A4EEE" w:rsidRPr="007807A9" w:rsidRDefault="005A4EEE" w:rsidP="005A4EEE">
      <w:pPr>
        <w:pStyle w:val="NoSpacing"/>
        <w:jc w:val="center"/>
        <w:rPr>
          <w:b/>
          <w:bCs/>
          <w:sz w:val="20"/>
          <w:szCs w:val="20"/>
          <w:u w:val="single"/>
          <w:lang w:val="en-US"/>
        </w:rPr>
      </w:pPr>
      <w:r>
        <w:rPr>
          <w:b/>
          <w:bCs/>
          <w:sz w:val="20"/>
          <w:szCs w:val="20"/>
          <w:u w:val="single"/>
          <w:lang w:val="en-US"/>
        </w:rPr>
        <w:t>I</w:t>
      </w:r>
      <w:r>
        <w:rPr>
          <w:b/>
          <w:bCs/>
          <w:sz w:val="20"/>
          <w:szCs w:val="20"/>
          <w:u w:val="single"/>
        </w:rPr>
        <w:t>nvitation of Tender</w:t>
      </w:r>
    </w:p>
    <w:p w:rsidR="005A4EEE" w:rsidRPr="004E1AF3" w:rsidRDefault="005A4EEE" w:rsidP="005A4EEE">
      <w:pPr>
        <w:pStyle w:val="NoSpacing"/>
        <w:rPr>
          <w:sz w:val="20"/>
          <w:szCs w:val="20"/>
          <w:u w:val="single"/>
        </w:rPr>
      </w:pPr>
    </w:p>
    <w:p w:rsidR="005A4EEE" w:rsidRPr="004E1AF3" w:rsidRDefault="005A4EEE" w:rsidP="005A4EEE">
      <w:pPr>
        <w:pStyle w:val="NoSpacing"/>
        <w:rPr>
          <w:sz w:val="20"/>
          <w:szCs w:val="20"/>
        </w:rPr>
      </w:pPr>
    </w:p>
    <w:p w:rsidR="005A4EEE" w:rsidRDefault="005A4EEE" w:rsidP="005A4EEE">
      <w:pPr>
        <w:pStyle w:val="NoSpacing"/>
        <w:ind w:left="720" w:hanging="720"/>
        <w:jc w:val="both"/>
        <w:rPr>
          <w:sz w:val="20"/>
          <w:szCs w:val="20"/>
        </w:rPr>
      </w:pPr>
      <w:r w:rsidRPr="004E1AF3">
        <w:rPr>
          <w:sz w:val="20"/>
          <w:szCs w:val="20"/>
        </w:rPr>
        <w:t xml:space="preserve">Subject: </w:t>
      </w:r>
      <w:r>
        <w:rPr>
          <w:sz w:val="20"/>
          <w:szCs w:val="20"/>
        </w:rPr>
        <w:tab/>
      </w:r>
      <w:r w:rsidRPr="004E1AF3">
        <w:rPr>
          <w:sz w:val="20"/>
          <w:szCs w:val="20"/>
        </w:rPr>
        <w:t>Construction of Indian Embassy Building Complex, consisting of Chancery &amp; Cultural Centre, Ambassador’s Residence, Officer’s houses, staff houses, security office &amp; service building at Tashkent, Republic of Uzbekistan.</w:t>
      </w:r>
    </w:p>
    <w:p w:rsidR="005A4EEE" w:rsidRPr="004E1AF3" w:rsidRDefault="005A4EEE" w:rsidP="005A4EEE">
      <w:pPr>
        <w:pStyle w:val="NoSpacing"/>
        <w:ind w:left="720" w:hanging="720"/>
        <w:rPr>
          <w:sz w:val="20"/>
          <w:szCs w:val="20"/>
        </w:rPr>
      </w:pPr>
    </w:p>
    <w:p w:rsidR="005A4EEE" w:rsidRPr="004E1AF3" w:rsidRDefault="005A4EEE" w:rsidP="005A4EEE">
      <w:pPr>
        <w:pStyle w:val="NoSpacing"/>
        <w:jc w:val="both"/>
        <w:rPr>
          <w:sz w:val="20"/>
          <w:szCs w:val="20"/>
        </w:rPr>
      </w:pPr>
      <w:r>
        <w:rPr>
          <w:sz w:val="20"/>
          <w:szCs w:val="20"/>
        </w:rPr>
        <w:t xml:space="preserve">1. </w:t>
      </w:r>
      <w:r w:rsidRPr="004E1AF3">
        <w:rPr>
          <w:sz w:val="20"/>
          <w:szCs w:val="20"/>
        </w:rPr>
        <w:t xml:space="preserve">Embassy of India, Tashkent, Uzbekistan, for and on behalf of President of India invites </w:t>
      </w:r>
      <w:r w:rsidRPr="004E1AF3">
        <w:rPr>
          <w:b/>
          <w:bCs/>
          <w:sz w:val="20"/>
          <w:szCs w:val="20"/>
        </w:rPr>
        <w:t>sealed fixed price lump sum tenders</w:t>
      </w:r>
      <w:r w:rsidRPr="004E1AF3">
        <w:rPr>
          <w:sz w:val="20"/>
          <w:szCs w:val="20"/>
        </w:rPr>
        <w:t xml:space="preserve"> from Contractors of repute for the following work.</w:t>
      </w:r>
    </w:p>
    <w:p w:rsidR="005A4EEE" w:rsidRPr="004E1AF3" w:rsidRDefault="005A4EEE" w:rsidP="005A4EEE">
      <w:pPr>
        <w:pStyle w:val="NoSpacing"/>
        <w:rPr>
          <w:sz w:val="20"/>
          <w:szCs w:val="20"/>
        </w:rPr>
      </w:pPr>
    </w:p>
    <w:tbl>
      <w:tblPr>
        <w:tblW w:w="8663"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070"/>
        <w:gridCol w:w="2345"/>
      </w:tblGrid>
      <w:tr w:rsidR="005A4EEE" w:rsidRPr="00FB5867" w:rsidTr="00BB2F58">
        <w:tc>
          <w:tcPr>
            <w:tcW w:w="4248" w:type="dxa"/>
          </w:tcPr>
          <w:p w:rsidR="005A4EEE" w:rsidRPr="00FB5867" w:rsidRDefault="005A4EEE" w:rsidP="00BB2F58">
            <w:pPr>
              <w:pStyle w:val="NoSpacing"/>
              <w:rPr>
                <w:sz w:val="20"/>
                <w:szCs w:val="20"/>
              </w:rPr>
            </w:pPr>
            <w:r w:rsidRPr="00FB5867">
              <w:rPr>
                <w:sz w:val="20"/>
                <w:szCs w:val="20"/>
              </w:rPr>
              <w:t>Name of work</w:t>
            </w:r>
          </w:p>
        </w:tc>
        <w:tc>
          <w:tcPr>
            <w:tcW w:w="2070" w:type="dxa"/>
          </w:tcPr>
          <w:p w:rsidR="005A4EEE" w:rsidRPr="00FB5867" w:rsidRDefault="005A4EEE" w:rsidP="00BB2F58">
            <w:pPr>
              <w:pStyle w:val="NoSpacing"/>
              <w:rPr>
                <w:sz w:val="20"/>
                <w:szCs w:val="20"/>
              </w:rPr>
            </w:pPr>
            <w:r w:rsidRPr="00FB5867">
              <w:rPr>
                <w:sz w:val="20"/>
                <w:szCs w:val="20"/>
              </w:rPr>
              <w:t>Approx Built up area</w:t>
            </w:r>
          </w:p>
        </w:tc>
        <w:tc>
          <w:tcPr>
            <w:tcW w:w="2345" w:type="dxa"/>
          </w:tcPr>
          <w:p w:rsidR="005A4EEE" w:rsidRPr="00FB5867" w:rsidRDefault="005A4EEE" w:rsidP="00BB2F58">
            <w:pPr>
              <w:pStyle w:val="NoSpacing"/>
              <w:rPr>
                <w:sz w:val="20"/>
                <w:szCs w:val="20"/>
              </w:rPr>
            </w:pPr>
            <w:r w:rsidRPr="00FB5867">
              <w:rPr>
                <w:sz w:val="20"/>
                <w:szCs w:val="20"/>
              </w:rPr>
              <w:t>Period of Construction</w:t>
            </w:r>
          </w:p>
        </w:tc>
      </w:tr>
      <w:tr w:rsidR="005A4EEE" w:rsidRPr="00FB5867" w:rsidTr="00BB2F58">
        <w:tc>
          <w:tcPr>
            <w:tcW w:w="4248" w:type="dxa"/>
          </w:tcPr>
          <w:p w:rsidR="005A4EEE" w:rsidRPr="00FB5867" w:rsidRDefault="005A4EEE" w:rsidP="00BB2F58">
            <w:pPr>
              <w:pStyle w:val="NoSpacing"/>
              <w:rPr>
                <w:sz w:val="20"/>
                <w:szCs w:val="20"/>
              </w:rPr>
            </w:pPr>
            <w:r w:rsidRPr="00FB5867">
              <w:rPr>
                <w:sz w:val="20"/>
                <w:szCs w:val="20"/>
              </w:rPr>
              <w:t>Construction of Chancery &amp; Cultural Centre Buildings, Ambassador’s Residence, Officer’s House</w:t>
            </w:r>
            <w:r>
              <w:rPr>
                <w:sz w:val="20"/>
                <w:szCs w:val="20"/>
                <w:lang w:val="en-US"/>
              </w:rPr>
              <w:t>s</w:t>
            </w:r>
            <w:r w:rsidRPr="00FB5867">
              <w:rPr>
                <w:sz w:val="20"/>
                <w:szCs w:val="20"/>
              </w:rPr>
              <w:t xml:space="preserve">, Security office &amp; Service Building </w:t>
            </w:r>
            <w:r>
              <w:rPr>
                <w:sz w:val="20"/>
                <w:szCs w:val="20"/>
              </w:rPr>
              <w:t>at Indian Embassy, Uzbekistansk</w:t>
            </w:r>
            <w:r w:rsidRPr="00FB5867">
              <w:rPr>
                <w:sz w:val="20"/>
                <w:szCs w:val="20"/>
              </w:rPr>
              <w:t>y Avenue, Shaikhontohur District, Republic of Uzbekistan (Civil, Electrical, Plumbing, HVAC, Fire Fighting, Security System, External Development, Compound Wall, etc)</w:t>
            </w:r>
          </w:p>
        </w:tc>
        <w:tc>
          <w:tcPr>
            <w:tcW w:w="2070" w:type="dxa"/>
          </w:tcPr>
          <w:p w:rsidR="005A4EEE" w:rsidRPr="00FB5867" w:rsidRDefault="005A4EEE" w:rsidP="00BB2F58">
            <w:pPr>
              <w:pStyle w:val="NoSpacing"/>
              <w:rPr>
                <w:sz w:val="20"/>
                <w:szCs w:val="20"/>
              </w:rPr>
            </w:pPr>
            <w:r w:rsidRPr="00FB5867">
              <w:rPr>
                <w:sz w:val="20"/>
                <w:szCs w:val="20"/>
              </w:rPr>
              <w:t>5400 sqm</w:t>
            </w:r>
          </w:p>
        </w:tc>
        <w:tc>
          <w:tcPr>
            <w:tcW w:w="2345" w:type="dxa"/>
          </w:tcPr>
          <w:p w:rsidR="005A4EEE" w:rsidRPr="00FB5867" w:rsidRDefault="005A4EEE" w:rsidP="00BB2F58">
            <w:pPr>
              <w:pStyle w:val="NoSpacing"/>
              <w:rPr>
                <w:sz w:val="20"/>
                <w:szCs w:val="20"/>
              </w:rPr>
            </w:pPr>
            <w:r w:rsidRPr="00FB5867">
              <w:rPr>
                <w:sz w:val="20"/>
                <w:szCs w:val="20"/>
              </w:rPr>
              <w:t>24 months</w:t>
            </w:r>
          </w:p>
        </w:tc>
      </w:tr>
    </w:tbl>
    <w:p w:rsidR="005A4EEE" w:rsidRPr="004E1AF3" w:rsidRDefault="005A4EEE" w:rsidP="005A4EEE">
      <w:pPr>
        <w:pStyle w:val="NoSpacing"/>
        <w:jc w:val="both"/>
        <w:rPr>
          <w:sz w:val="20"/>
          <w:szCs w:val="20"/>
        </w:rPr>
      </w:pPr>
      <w:r>
        <w:rPr>
          <w:sz w:val="20"/>
          <w:szCs w:val="20"/>
        </w:rPr>
        <w:t xml:space="preserve">2. </w:t>
      </w:r>
      <w:r w:rsidRPr="004E1AF3">
        <w:rPr>
          <w:sz w:val="20"/>
          <w:szCs w:val="20"/>
        </w:rPr>
        <w:t>Contractors who fulfill the following requirements shall only be eligible.  These criteria are indicative.  Exact details are clearly mentioned in the tender document.</w:t>
      </w:r>
    </w:p>
    <w:p w:rsidR="005A4EEE" w:rsidRPr="004E1AF3" w:rsidRDefault="005A4EEE" w:rsidP="005A4EEE">
      <w:pPr>
        <w:pStyle w:val="NoSpacing"/>
        <w:rPr>
          <w:sz w:val="20"/>
          <w:szCs w:val="20"/>
        </w:rPr>
      </w:pPr>
    </w:p>
    <w:p w:rsidR="005A4EEE" w:rsidRPr="004E1AF3" w:rsidRDefault="005A4EEE" w:rsidP="005A4EEE">
      <w:pPr>
        <w:pStyle w:val="NoSpacing"/>
        <w:numPr>
          <w:ilvl w:val="0"/>
          <w:numId w:val="1"/>
        </w:numPr>
        <w:jc w:val="both"/>
        <w:rPr>
          <w:sz w:val="20"/>
          <w:szCs w:val="20"/>
        </w:rPr>
      </w:pPr>
      <w:r w:rsidRPr="004E1AF3">
        <w:rPr>
          <w:sz w:val="20"/>
          <w:szCs w:val="20"/>
        </w:rPr>
        <w:t>The Contractor should have a valid permit / registration / class of registration from a competent local authority for carrying out building works in Uzbekistan as per details in tender.</w:t>
      </w:r>
    </w:p>
    <w:p w:rsidR="005A4EEE" w:rsidRPr="004E1AF3" w:rsidRDefault="005A4EEE" w:rsidP="005A4EEE">
      <w:pPr>
        <w:pStyle w:val="NoSpacing"/>
        <w:numPr>
          <w:ilvl w:val="0"/>
          <w:numId w:val="1"/>
        </w:numPr>
        <w:jc w:val="both"/>
        <w:rPr>
          <w:sz w:val="20"/>
          <w:szCs w:val="20"/>
        </w:rPr>
      </w:pPr>
      <w:r w:rsidRPr="004E1AF3">
        <w:rPr>
          <w:sz w:val="20"/>
          <w:szCs w:val="20"/>
        </w:rPr>
        <w:t>The Contractor should have satisfactorily completed three works each costing 3.40 million USD (excluding VAT) or two works each costing 4.25 million USD excluding VAT) or one work costing 6.80 million USD (excluding VAT) of the same nature as per details in tender.</w:t>
      </w:r>
    </w:p>
    <w:p w:rsidR="005A4EEE" w:rsidRPr="004E1AF3" w:rsidRDefault="005A4EEE" w:rsidP="005A4EEE">
      <w:pPr>
        <w:pStyle w:val="NoSpacing"/>
        <w:numPr>
          <w:ilvl w:val="0"/>
          <w:numId w:val="1"/>
        </w:numPr>
        <w:jc w:val="both"/>
        <w:rPr>
          <w:sz w:val="20"/>
          <w:szCs w:val="20"/>
        </w:rPr>
      </w:pPr>
      <w:r w:rsidRPr="004E1AF3">
        <w:rPr>
          <w:sz w:val="20"/>
          <w:szCs w:val="20"/>
        </w:rPr>
        <w:t>Should have average annual financial turnover of 2.55 million USD (excluding VAT) on civil construction works as per details in tender.</w:t>
      </w:r>
    </w:p>
    <w:p w:rsidR="005A4EEE" w:rsidRPr="004E1AF3" w:rsidRDefault="005A4EEE" w:rsidP="005A4EEE">
      <w:pPr>
        <w:pStyle w:val="NoSpacing"/>
        <w:numPr>
          <w:ilvl w:val="0"/>
          <w:numId w:val="1"/>
        </w:numPr>
        <w:jc w:val="both"/>
        <w:rPr>
          <w:sz w:val="20"/>
          <w:szCs w:val="20"/>
        </w:rPr>
      </w:pPr>
      <w:r w:rsidRPr="004E1AF3">
        <w:rPr>
          <w:sz w:val="20"/>
          <w:szCs w:val="20"/>
        </w:rPr>
        <w:t>The bidding company should be a profit making company and should not have incurred any loss during last five years.</w:t>
      </w:r>
    </w:p>
    <w:p w:rsidR="005A4EEE" w:rsidRPr="004E1AF3" w:rsidRDefault="005A4EEE" w:rsidP="005A4EEE">
      <w:pPr>
        <w:pStyle w:val="NoSpacing"/>
        <w:numPr>
          <w:ilvl w:val="0"/>
          <w:numId w:val="1"/>
        </w:numPr>
        <w:jc w:val="both"/>
        <w:rPr>
          <w:sz w:val="20"/>
          <w:szCs w:val="20"/>
        </w:rPr>
      </w:pPr>
      <w:r w:rsidRPr="004E1AF3">
        <w:rPr>
          <w:sz w:val="20"/>
          <w:szCs w:val="20"/>
        </w:rPr>
        <w:t>Should have a solvency of 3.4 million USD (excluding VAT) as per details in tender.</w:t>
      </w:r>
    </w:p>
    <w:p w:rsidR="005A4EEE" w:rsidRPr="004E1AF3" w:rsidRDefault="005A4EEE" w:rsidP="005A4EEE">
      <w:pPr>
        <w:pStyle w:val="NoSpacing"/>
        <w:numPr>
          <w:ilvl w:val="0"/>
          <w:numId w:val="1"/>
        </w:numPr>
        <w:jc w:val="both"/>
        <w:rPr>
          <w:sz w:val="20"/>
          <w:szCs w:val="20"/>
        </w:rPr>
      </w:pPr>
      <w:r w:rsidRPr="004E1AF3">
        <w:rPr>
          <w:sz w:val="20"/>
          <w:szCs w:val="20"/>
        </w:rPr>
        <w:t>Should have valid VAT approval as per details in tender.</w:t>
      </w:r>
    </w:p>
    <w:p w:rsidR="005A4EEE" w:rsidRPr="004E1AF3" w:rsidRDefault="005A4EEE" w:rsidP="005A4EEE">
      <w:pPr>
        <w:pStyle w:val="NoSpacing"/>
        <w:jc w:val="both"/>
        <w:rPr>
          <w:sz w:val="20"/>
          <w:szCs w:val="20"/>
        </w:rPr>
      </w:pPr>
    </w:p>
    <w:p w:rsidR="005A4EEE" w:rsidRPr="004E1AF3" w:rsidRDefault="005A4EEE" w:rsidP="005A4EEE">
      <w:pPr>
        <w:pStyle w:val="NoSpacing"/>
        <w:jc w:val="both"/>
        <w:rPr>
          <w:sz w:val="20"/>
          <w:szCs w:val="20"/>
        </w:rPr>
      </w:pPr>
      <w:r>
        <w:rPr>
          <w:sz w:val="20"/>
          <w:szCs w:val="20"/>
        </w:rPr>
        <w:t xml:space="preserve">3. </w:t>
      </w:r>
      <w:r w:rsidRPr="004E1AF3">
        <w:rPr>
          <w:sz w:val="20"/>
          <w:szCs w:val="20"/>
        </w:rPr>
        <w:t>Joint ventures shall be considered as per details given in the Tender document.</w:t>
      </w:r>
    </w:p>
    <w:p w:rsidR="005A4EEE" w:rsidRPr="004E1AF3" w:rsidRDefault="005A4EEE" w:rsidP="005A4EEE">
      <w:pPr>
        <w:pStyle w:val="NoSpacing"/>
        <w:jc w:val="both"/>
        <w:rPr>
          <w:sz w:val="20"/>
          <w:szCs w:val="20"/>
        </w:rPr>
      </w:pPr>
    </w:p>
    <w:p w:rsidR="005A4EEE" w:rsidRPr="004E1AF3" w:rsidRDefault="005A4EEE" w:rsidP="005A4EEE">
      <w:pPr>
        <w:pStyle w:val="NoSpacing"/>
        <w:jc w:val="both"/>
        <w:rPr>
          <w:sz w:val="20"/>
          <w:szCs w:val="20"/>
        </w:rPr>
      </w:pPr>
      <w:r>
        <w:rPr>
          <w:sz w:val="20"/>
          <w:szCs w:val="20"/>
        </w:rPr>
        <w:t xml:space="preserve">4. </w:t>
      </w:r>
      <w:r w:rsidRPr="004E1AF3">
        <w:rPr>
          <w:sz w:val="20"/>
          <w:szCs w:val="20"/>
        </w:rPr>
        <w:t xml:space="preserve">Cost of tender document is US$ 200 or INR </w:t>
      </w:r>
      <w:r>
        <w:rPr>
          <w:sz w:val="20"/>
          <w:szCs w:val="20"/>
          <w:lang w:val="en-US"/>
        </w:rPr>
        <w:t xml:space="preserve">13300 </w:t>
      </w:r>
      <w:r w:rsidRPr="004E1AF3">
        <w:rPr>
          <w:sz w:val="20"/>
          <w:szCs w:val="20"/>
        </w:rPr>
        <w:t>or</w:t>
      </w:r>
      <w:r>
        <w:rPr>
          <w:sz w:val="20"/>
          <w:szCs w:val="20"/>
          <w:lang w:val="uz-Latn-UZ"/>
        </w:rPr>
        <w:t xml:space="preserve"> </w:t>
      </w:r>
      <w:r w:rsidRPr="004E1AF3">
        <w:rPr>
          <w:sz w:val="20"/>
          <w:szCs w:val="20"/>
        </w:rPr>
        <w:t xml:space="preserve"> </w:t>
      </w:r>
      <w:r>
        <w:rPr>
          <w:sz w:val="20"/>
          <w:szCs w:val="20"/>
          <w:lang w:val="en-US"/>
        </w:rPr>
        <w:t xml:space="preserve">Uzbek </w:t>
      </w:r>
      <w:r w:rsidRPr="004E1AF3">
        <w:rPr>
          <w:sz w:val="20"/>
          <w:szCs w:val="20"/>
        </w:rPr>
        <w:t>SOUMS</w:t>
      </w:r>
      <w:r>
        <w:rPr>
          <w:sz w:val="20"/>
          <w:szCs w:val="20"/>
          <w:lang w:val="uz-Latn-UZ"/>
        </w:rPr>
        <w:t xml:space="preserve"> 544224.00 (Soums Five hundred forty four thousand two hundred twenty four only)</w:t>
      </w:r>
      <w:r w:rsidRPr="004E1AF3">
        <w:rPr>
          <w:sz w:val="20"/>
          <w:szCs w:val="20"/>
        </w:rPr>
        <w:t>.</w:t>
      </w:r>
    </w:p>
    <w:p w:rsidR="005A4EEE" w:rsidRPr="004E1AF3" w:rsidRDefault="005A4EEE" w:rsidP="005A4EEE">
      <w:pPr>
        <w:pStyle w:val="NoSpacing"/>
        <w:rPr>
          <w:sz w:val="20"/>
          <w:szCs w:val="20"/>
        </w:rPr>
      </w:pPr>
    </w:p>
    <w:p w:rsidR="005A4EEE" w:rsidRDefault="005A4EEE" w:rsidP="005A4EEE">
      <w:pPr>
        <w:pStyle w:val="NoSpacing"/>
        <w:jc w:val="both"/>
        <w:rPr>
          <w:sz w:val="20"/>
          <w:szCs w:val="20"/>
          <w:lang w:val="en-US"/>
        </w:rPr>
      </w:pPr>
      <w:r>
        <w:rPr>
          <w:sz w:val="20"/>
          <w:szCs w:val="20"/>
        </w:rPr>
        <w:t xml:space="preserve">5. </w:t>
      </w:r>
      <w:r w:rsidRPr="004E1AF3">
        <w:rPr>
          <w:sz w:val="20"/>
          <w:szCs w:val="20"/>
        </w:rPr>
        <w:t>Desirous contractors may obtain documents on request in writing from the First Secretary, Embassy of India-Tashkent, 15/16, Kara-Bulak (Vakhshskaya) Street, Mi</w:t>
      </w:r>
      <w:r>
        <w:rPr>
          <w:sz w:val="20"/>
          <w:szCs w:val="20"/>
        </w:rPr>
        <w:t>rzo Ulugbek District, Tashkent-1</w:t>
      </w:r>
      <w:r w:rsidRPr="004E1AF3">
        <w:rPr>
          <w:sz w:val="20"/>
          <w:szCs w:val="20"/>
        </w:rPr>
        <w:t xml:space="preserve">00 052, Tel: +998 71 140 0983 on payment by cash or by Bank Draft </w:t>
      </w:r>
      <w:r w:rsidRPr="000149E8">
        <w:rPr>
          <w:b/>
          <w:bCs/>
          <w:sz w:val="20"/>
          <w:szCs w:val="20"/>
        </w:rPr>
        <w:t>in favour of “M/s Romi Khosla Design Studios”, New Delhi</w:t>
      </w:r>
      <w:r w:rsidRPr="004E1AF3">
        <w:rPr>
          <w:sz w:val="20"/>
          <w:szCs w:val="20"/>
        </w:rPr>
        <w:t xml:space="preserve">.  </w:t>
      </w:r>
      <w:r w:rsidRPr="000149E8">
        <w:rPr>
          <w:b/>
          <w:bCs/>
          <w:sz w:val="20"/>
          <w:szCs w:val="20"/>
        </w:rPr>
        <w:t>The documents can also be purchased from M/s. R</w:t>
      </w:r>
      <w:r>
        <w:rPr>
          <w:b/>
          <w:bCs/>
          <w:sz w:val="20"/>
          <w:szCs w:val="20"/>
        </w:rPr>
        <w:t xml:space="preserve">omi Khosla </w:t>
      </w:r>
      <w:r>
        <w:rPr>
          <w:b/>
          <w:bCs/>
          <w:sz w:val="20"/>
          <w:szCs w:val="20"/>
          <w:lang w:val="en-US"/>
        </w:rPr>
        <w:t>D</w:t>
      </w:r>
      <w:r w:rsidRPr="000149E8">
        <w:rPr>
          <w:b/>
          <w:bCs/>
          <w:sz w:val="20"/>
          <w:szCs w:val="20"/>
        </w:rPr>
        <w:t>esign Studios, C9, Maharani Bagh, New Delhi.</w:t>
      </w:r>
      <w:r w:rsidRPr="004E1AF3">
        <w:rPr>
          <w:sz w:val="20"/>
          <w:szCs w:val="20"/>
        </w:rPr>
        <w:t xml:space="preserve">  Date &amp; Time of sale of Tender Documents at Tashkent / New Delhi </w:t>
      </w:r>
      <w:r>
        <w:rPr>
          <w:sz w:val="20"/>
          <w:szCs w:val="20"/>
          <w:lang w:val="en-US"/>
        </w:rPr>
        <w:t xml:space="preserve">begins from Monday, 04 January, 2016 and </w:t>
      </w:r>
      <w:r w:rsidRPr="004E1AF3">
        <w:rPr>
          <w:sz w:val="20"/>
          <w:szCs w:val="20"/>
        </w:rPr>
        <w:t xml:space="preserve">closes on </w:t>
      </w:r>
      <w:r>
        <w:rPr>
          <w:sz w:val="20"/>
          <w:szCs w:val="20"/>
          <w:lang w:val="en-US"/>
        </w:rPr>
        <w:t xml:space="preserve">Monday, 18 January, 2016, at 3.00 p.m. </w:t>
      </w:r>
    </w:p>
    <w:p w:rsidR="005A4EEE" w:rsidRPr="004E1AF3" w:rsidRDefault="005A4EEE" w:rsidP="005A4EEE">
      <w:pPr>
        <w:pStyle w:val="NoSpacing"/>
        <w:jc w:val="both"/>
        <w:rPr>
          <w:sz w:val="20"/>
          <w:szCs w:val="20"/>
        </w:rPr>
      </w:pPr>
    </w:p>
    <w:p w:rsidR="005A4EEE" w:rsidRPr="004E1AF3" w:rsidRDefault="005A4EEE" w:rsidP="005A4EEE">
      <w:pPr>
        <w:pStyle w:val="NoSpacing"/>
        <w:jc w:val="both"/>
        <w:rPr>
          <w:sz w:val="20"/>
          <w:szCs w:val="20"/>
        </w:rPr>
      </w:pPr>
      <w:r>
        <w:rPr>
          <w:sz w:val="20"/>
          <w:szCs w:val="20"/>
        </w:rPr>
        <w:t xml:space="preserve">6. </w:t>
      </w:r>
      <w:r w:rsidRPr="004E1AF3">
        <w:rPr>
          <w:sz w:val="20"/>
          <w:szCs w:val="20"/>
        </w:rPr>
        <w:t>Earnest Money Deposit (EMD) : 92,000 USD</w:t>
      </w:r>
    </w:p>
    <w:p w:rsidR="005A4EEE" w:rsidRDefault="005A4EEE" w:rsidP="005A4EEE">
      <w:pPr>
        <w:pStyle w:val="NoSpacing"/>
        <w:jc w:val="both"/>
        <w:rPr>
          <w:sz w:val="20"/>
          <w:szCs w:val="20"/>
        </w:rPr>
      </w:pPr>
      <w:r>
        <w:rPr>
          <w:sz w:val="20"/>
          <w:szCs w:val="20"/>
        </w:rPr>
        <w:t xml:space="preserve">    </w:t>
      </w:r>
      <w:r w:rsidRPr="004E1AF3">
        <w:rPr>
          <w:sz w:val="20"/>
          <w:szCs w:val="20"/>
        </w:rPr>
        <w:t>Integrity Pact Security Deposit (IPSD) = 10,000 USD</w:t>
      </w:r>
    </w:p>
    <w:p w:rsidR="005A4EEE" w:rsidRPr="004E1AF3" w:rsidRDefault="005A4EEE" w:rsidP="005A4EEE">
      <w:pPr>
        <w:pStyle w:val="NoSpacing"/>
        <w:jc w:val="both"/>
        <w:rPr>
          <w:sz w:val="20"/>
          <w:szCs w:val="20"/>
        </w:rPr>
      </w:pPr>
    </w:p>
    <w:p w:rsidR="005A4EEE" w:rsidRPr="004E1AF3" w:rsidRDefault="005A4EEE" w:rsidP="005A4EEE">
      <w:pPr>
        <w:pStyle w:val="NoSpacing"/>
        <w:jc w:val="both"/>
        <w:rPr>
          <w:sz w:val="20"/>
          <w:szCs w:val="20"/>
        </w:rPr>
      </w:pPr>
      <w:r>
        <w:rPr>
          <w:sz w:val="20"/>
          <w:szCs w:val="20"/>
        </w:rPr>
        <w:t xml:space="preserve">7. </w:t>
      </w:r>
      <w:r w:rsidRPr="004E1AF3">
        <w:rPr>
          <w:sz w:val="20"/>
          <w:szCs w:val="20"/>
        </w:rPr>
        <w:t xml:space="preserve">The Tender document not accompanied by Earnest Money Deposit (EMD) &amp; Integrity Pact Security Deposit (IPSD) shall not be considered as valid for opening of the </w:t>
      </w:r>
      <w:r>
        <w:rPr>
          <w:sz w:val="20"/>
          <w:szCs w:val="20"/>
          <w:lang w:val="en-US"/>
        </w:rPr>
        <w:t xml:space="preserve">technical </w:t>
      </w:r>
      <w:r w:rsidRPr="004E1AF3">
        <w:rPr>
          <w:sz w:val="20"/>
          <w:szCs w:val="20"/>
        </w:rPr>
        <w:t xml:space="preserve">bid.  EMD and IPSD will be refunded to only unsuccessful bidders after finalization of Contractor </w:t>
      </w:r>
      <w:r>
        <w:rPr>
          <w:sz w:val="20"/>
          <w:szCs w:val="20"/>
          <w:lang w:val="en-US"/>
        </w:rPr>
        <w:t xml:space="preserve">and </w:t>
      </w:r>
      <w:r w:rsidRPr="004E1AF3">
        <w:rPr>
          <w:sz w:val="20"/>
          <w:szCs w:val="20"/>
        </w:rPr>
        <w:t xml:space="preserve"> no interest will be paid thereon. EMD &amp; ISPD shall be acceptable in USD by Bank Transfer/Bank draft/Pay order in favour of Head of Chancery, Embassy of India, Tashkent or Bank Guarantee (as per enclosed proforma in tender document).  </w:t>
      </w:r>
    </w:p>
    <w:p w:rsidR="005A4EEE" w:rsidRPr="004E1AF3" w:rsidRDefault="005A4EEE" w:rsidP="005A4EEE">
      <w:pPr>
        <w:pStyle w:val="NoSpacing"/>
        <w:rPr>
          <w:sz w:val="20"/>
          <w:szCs w:val="20"/>
        </w:rPr>
      </w:pPr>
    </w:p>
    <w:p w:rsidR="005A4EEE" w:rsidRPr="004E1AF3" w:rsidRDefault="005A4EEE" w:rsidP="005A4EEE">
      <w:pPr>
        <w:pStyle w:val="NoSpacing"/>
        <w:jc w:val="both"/>
        <w:rPr>
          <w:sz w:val="20"/>
          <w:szCs w:val="20"/>
        </w:rPr>
      </w:pPr>
      <w:r>
        <w:rPr>
          <w:sz w:val="20"/>
          <w:szCs w:val="20"/>
        </w:rPr>
        <w:t xml:space="preserve">      </w:t>
      </w:r>
      <w:r w:rsidRPr="004E1AF3">
        <w:rPr>
          <w:sz w:val="20"/>
          <w:szCs w:val="20"/>
        </w:rPr>
        <w:t xml:space="preserve">Earnest Money Deposit (EMD) and Integrity Pact Security Deposit (IPSD) shall also be acceptable in </w:t>
      </w:r>
      <w:r>
        <w:rPr>
          <w:sz w:val="20"/>
          <w:szCs w:val="20"/>
          <w:lang w:val="en-US"/>
        </w:rPr>
        <w:t xml:space="preserve">Uzbek </w:t>
      </w:r>
      <w:r w:rsidRPr="004E1AF3">
        <w:rPr>
          <w:sz w:val="20"/>
          <w:szCs w:val="20"/>
        </w:rPr>
        <w:t xml:space="preserve">SOUMS/USD by bank transfer / bank draft / Pay order in favour of Head of Chancery, Embassy of India, Tashkent or bank guarantee (as per enclosed proforma in tender document). The equivalent amount in SOUMS for EMD will be </w:t>
      </w:r>
      <w:r>
        <w:rPr>
          <w:sz w:val="20"/>
          <w:szCs w:val="20"/>
          <w:lang w:val="en-US"/>
        </w:rPr>
        <w:t xml:space="preserve">Uzbek </w:t>
      </w:r>
      <w:r w:rsidRPr="004E1AF3">
        <w:rPr>
          <w:sz w:val="20"/>
          <w:szCs w:val="20"/>
        </w:rPr>
        <w:t>SOUMS</w:t>
      </w:r>
      <w:r>
        <w:rPr>
          <w:sz w:val="20"/>
          <w:szCs w:val="20"/>
          <w:lang w:val="en-US"/>
        </w:rPr>
        <w:t xml:space="preserve"> 250342999/</w:t>
      </w:r>
      <w:r>
        <w:rPr>
          <w:sz w:val="20"/>
          <w:szCs w:val="20"/>
          <w:lang w:val="uz-Latn-UZ"/>
        </w:rPr>
        <w:t xml:space="preserve">- </w:t>
      </w:r>
      <w:r w:rsidRPr="004E1AF3">
        <w:rPr>
          <w:sz w:val="20"/>
          <w:szCs w:val="20"/>
        </w:rPr>
        <w:t>(</w:t>
      </w:r>
      <w:r>
        <w:rPr>
          <w:sz w:val="20"/>
          <w:szCs w:val="20"/>
          <w:lang w:val="en-US"/>
        </w:rPr>
        <w:t xml:space="preserve">Uzbek Soums </w:t>
      </w:r>
      <w:r>
        <w:rPr>
          <w:sz w:val="20"/>
          <w:szCs w:val="20"/>
          <w:lang w:val="uz-Latn-UZ"/>
        </w:rPr>
        <w:t xml:space="preserve">Two hundred fifty million three hundred forty </w:t>
      </w:r>
      <w:r>
        <w:rPr>
          <w:sz w:val="20"/>
          <w:szCs w:val="20"/>
          <w:lang w:val="uz-Latn-UZ"/>
        </w:rPr>
        <w:lastRenderedPageBreak/>
        <w:t>two thousand nine hundred ninety nine only)</w:t>
      </w:r>
      <w:r w:rsidRPr="004E1AF3">
        <w:rPr>
          <w:sz w:val="20"/>
          <w:szCs w:val="20"/>
        </w:rPr>
        <w:t xml:space="preserve">. The equivalent amount in SOUMS for IPSD will be SOUMS </w:t>
      </w:r>
      <w:r>
        <w:rPr>
          <w:sz w:val="20"/>
          <w:szCs w:val="20"/>
          <w:lang w:val="en-US"/>
        </w:rPr>
        <w:t xml:space="preserve">27211196 (Uzbek </w:t>
      </w:r>
      <w:r>
        <w:rPr>
          <w:sz w:val="20"/>
          <w:szCs w:val="20"/>
          <w:lang w:val="uz-Latn-UZ"/>
        </w:rPr>
        <w:t>Soums Twenty seven million two hundred eleven thousand one hundred ninety six only)</w:t>
      </w:r>
      <w:r w:rsidRPr="004E1AF3">
        <w:rPr>
          <w:sz w:val="20"/>
          <w:szCs w:val="20"/>
        </w:rPr>
        <w:t>.</w:t>
      </w:r>
    </w:p>
    <w:p w:rsidR="005A4EEE" w:rsidRPr="004E1AF3" w:rsidRDefault="005A4EEE" w:rsidP="005A4EEE">
      <w:pPr>
        <w:pStyle w:val="NoSpacing"/>
        <w:jc w:val="both"/>
        <w:rPr>
          <w:sz w:val="20"/>
          <w:szCs w:val="20"/>
        </w:rPr>
      </w:pPr>
    </w:p>
    <w:p w:rsidR="005A4EEE" w:rsidRPr="004E1AF3" w:rsidRDefault="005A4EEE" w:rsidP="005A4EEE">
      <w:pPr>
        <w:pStyle w:val="NoSpacing"/>
        <w:jc w:val="both"/>
        <w:rPr>
          <w:sz w:val="20"/>
          <w:szCs w:val="20"/>
        </w:rPr>
      </w:pPr>
      <w:r>
        <w:rPr>
          <w:sz w:val="20"/>
          <w:szCs w:val="20"/>
        </w:rPr>
        <w:t xml:space="preserve">       </w:t>
      </w:r>
      <w:r w:rsidRPr="004E1AF3">
        <w:rPr>
          <w:sz w:val="20"/>
          <w:szCs w:val="20"/>
        </w:rPr>
        <w:t>EMD and IPSD in INR (i.e. Indian Rupee) is also acceptable in Bank Draft issued in favour of Pay &amp; Account Officer, Ministry of External Affairs, New Delhi payable at New Delhi. EMD and IPSD should be submitted at Indian Embassy – Tashkent at the address mentioned above only in proper envelope along with documents as mentioned in tender documents. The equivalent amount in INR for EMD shall be Rs.</w:t>
      </w:r>
      <w:r>
        <w:rPr>
          <w:sz w:val="20"/>
          <w:szCs w:val="20"/>
          <w:lang w:val="en-US"/>
        </w:rPr>
        <w:t>6131800 (Indian Rupees Six million one hundred thirty one thousand and eight hundred only)</w:t>
      </w:r>
      <w:r w:rsidRPr="004E1AF3">
        <w:rPr>
          <w:sz w:val="20"/>
          <w:szCs w:val="20"/>
        </w:rPr>
        <w:t>. The equivalent amount of IPSD in INR shall be Rs.</w:t>
      </w:r>
      <w:r>
        <w:rPr>
          <w:sz w:val="20"/>
          <w:szCs w:val="20"/>
          <w:lang w:val="en-US"/>
        </w:rPr>
        <w:t>666500</w:t>
      </w:r>
      <w:r>
        <w:rPr>
          <w:sz w:val="20"/>
          <w:szCs w:val="20"/>
          <w:lang w:val="uz-Latn-UZ"/>
        </w:rPr>
        <w:t xml:space="preserve">/- (Indian Rupees Six hundred sixty six thousand and five hundred only). </w:t>
      </w:r>
      <w:r w:rsidRPr="004E1AF3">
        <w:rPr>
          <w:sz w:val="20"/>
          <w:szCs w:val="20"/>
        </w:rPr>
        <w:t xml:space="preserve"> The other terms and conditions related with EMD and IPSD shall remain same as mentioned in tender document.</w:t>
      </w:r>
    </w:p>
    <w:p w:rsidR="005A4EEE" w:rsidRPr="004E1AF3" w:rsidRDefault="005A4EEE" w:rsidP="005A4EEE">
      <w:pPr>
        <w:pStyle w:val="NoSpacing"/>
        <w:rPr>
          <w:sz w:val="20"/>
          <w:szCs w:val="20"/>
        </w:rPr>
      </w:pPr>
    </w:p>
    <w:p w:rsidR="005A4EEE" w:rsidRPr="004E1AF3" w:rsidRDefault="005A4EEE" w:rsidP="005A4EEE">
      <w:pPr>
        <w:pStyle w:val="NoSpacing"/>
        <w:jc w:val="both"/>
        <w:rPr>
          <w:sz w:val="20"/>
          <w:szCs w:val="20"/>
        </w:rPr>
      </w:pPr>
      <w:r>
        <w:rPr>
          <w:sz w:val="20"/>
          <w:szCs w:val="20"/>
        </w:rPr>
        <w:t xml:space="preserve">8. </w:t>
      </w:r>
      <w:r w:rsidRPr="004E1AF3">
        <w:rPr>
          <w:sz w:val="20"/>
          <w:szCs w:val="20"/>
        </w:rPr>
        <w:t xml:space="preserve">EMD and Integrity Pact Security Deposit will be refunded to unsuccessful contractors only after deducting charges levied by the Bank at the time of transfer, and only after finalization of Contract </w:t>
      </w:r>
      <w:r>
        <w:rPr>
          <w:sz w:val="20"/>
          <w:szCs w:val="20"/>
          <w:lang w:val="en-US"/>
        </w:rPr>
        <w:t>and</w:t>
      </w:r>
      <w:r w:rsidRPr="004E1AF3">
        <w:rPr>
          <w:sz w:val="20"/>
          <w:szCs w:val="20"/>
        </w:rPr>
        <w:t xml:space="preserve"> no interest will be paid thereon.  All other terms and conditions related with EMD and IPSD shall remain the same as mentioned in tender document.</w:t>
      </w:r>
    </w:p>
    <w:p w:rsidR="005A4EEE" w:rsidRDefault="005A4EEE" w:rsidP="005A4EEE">
      <w:pPr>
        <w:pStyle w:val="NoSpacing"/>
        <w:rPr>
          <w:sz w:val="20"/>
          <w:szCs w:val="20"/>
          <w:lang w:val="en-US"/>
        </w:rPr>
      </w:pPr>
    </w:p>
    <w:p w:rsidR="005A4EEE" w:rsidRDefault="005A4EEE" w:rsidP="005A4EEE">
      <w:pPr>
        <w:pStyle w:val="NoSpacing"/>
        <w:rPr>
          <w:sz w:val="20"/>
          <w:szCs w:val="20"/>
          <w:lang w:val="en-US"/>
        </w:rPr>
      </w:pPr>
      <w:r>
        <w:rPr>
          <w:sz w:val="20"/>
          <w:szCs w:val="20"/>
          <w:lang w:val="en-US"/>
        </w:rPr>
        <w:t>9.</w:t>
      </w:r>
      <w:r>
        <w:rPr>
          <w:sz w:val="20"/>
          <w:szCs w:val="20"/>
          <w:lang w:val="en-US"/>
        </w:rPr>
        <w:tab/>
        <w:t>A Pre-bid Conference will be held in the Embassy of India, Tashkent on 13 January, 2016.</w:t>
      </w:r>
    </w:p>
    <w:p w:rsidR="005A4EEE" w:rsidRPr="002E053B" w:rsidRDefault="005A4EEE" w:rsidP="005A4EEE">
      <w:pPr>
        <w:pStyle w:val="NoSpacing"/>
        <w:rPr>
          <w:sz w:val="20"/>
          <w:szCs w:val="20"/>
          <w:lang w:val="en-US"/>
        </w:rPr>
      </w:pPr>
      <w:r>
        <w:rPr>
          <w:sz w:val="20"/>
          <w:szCs w:val="20"/>
          <w:lang w:val="en-US"/>
        </w:rPr>
        <w:t xml:space="preserve"> </w:t>
      </w:r>
    </w:p>
    <w:p w:rsidR="005A4EEE" w:rsidRPr="004E1AF3" w:rsidRDefault="005A4EEE" w:rsidP="005A4EEE">
      <w:pPr>
        <w:pStyle w:val="NoSpacing"/>
        <w:rPr>
          <w:sz w:val="20"/>
          <w:szCs w:val="20"/>
        </w:rPr>
      </w:pPr>
      <w:r>
        <w:rPr>
          <w:sz w:val="20"/>
          <w:szCs w:val="20"/>
          <w:lang w:val="en-US"/>
        </w:rPr>
        <w:t>10</w:t>
      </w:r>
      <w:r>
        <w:rPr>
          <w:sz w:val="20"/>
          <w:szCs w:val="20"/>
        </w:rPr>
        <w:t xml:space="preserve">. </w:t>
      </w:r>
      <w:proofErr w:type="gramStart"/>
      <w:r w:rsidRPr="00932B7A">
        <w:rPr>
          <w:b/>
          <w:bCs/>
          <w:sz w:val="20"/>
          <w:szCs w:val="20"/>
        </w:rPr>
        <w:t>SUBMISSION</w:t>
      </w:r>
      <w:r>
        <w:rPr>
          <w:sz w:val="20"/>
          <w:szCs w:val="20"/>
        </w:rPr>
        <w:t xml:space="preserve"> </w:t>
      </w:r>
      <w:r w:rsidRPr="004E1AF3">
        <w:rPr>
          <w:sz w:val="20"/>
          <w:szCs w:val="20"/>
        </w:rPr>
        <w:t>:</w:t>
      </w:r>
      <w:proofErr w:type="gramEnd"/>
    </w:p>
    <w:p w:rsidR="005A4EEE" w:rsidRPr="004E1AF3" w:rsidRDefault="005A4EEE" w:rsidP="005A4EEE">
      <w:pPr>
        <w:pStyle w:val="NoSpacing"/>
        <w:rPr>
          <w:sz w:val="20"/>
          <w:szCs w:val="20"/>
        </w:rPr>
      </w:pPr>
    </w:p>
    <w:p w:rsidR="005A4EEE" w:rsidRPr="004E1AF3" w:rsidRDefault="005A4EEE" w:rsidP="005A4EEE">
      <w:pPr>
        <w:pStyle w:val="NoSpacing"/>
        <w:numPr>
          <w:ilvl w:val="0"/>
          <w:numId w:val="2"/>
        </w:numPr>
        <w:rPr>
          <w:sz w:val="20"/>
          <w:szCs w:val="20"/>
        </w:rPr>
      </w:pPr>
      <w:r w:rsidRPr="004E1AF3">
        <w:rPr>
          <w:sz w:val="20"/>
          <w:szCs w:val="20"/>
        </w:rPr>
        <w:t>The tender shall be submitted in sealed envelopes as described below.</w:t>
      </w:r>
    </w:p>
    <w:p w:rsidR="005A4EEE" w:rsidRPr="004E1AF3" w:rsidRDefault="005A4EEE" w:rsidP="005A4EEE">
      <w:pPr>
        <w:pStyle w:val="NoSpacing"/>
        <w:rPr>
          <w:sz w:val="20"/>
          <w:szCs w:val="20"/>
        </w:rPr>
      </w:pPr>
    </w:p>
    <w:tbl>
      <w:tblPr>
        <w:tblW w:w="8280" w:type="dxa"/>
        <w:tblInd w:w="11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530"/>
        <w:gridCol w:w="6750"/>
      </w:tblGrid>
      <w:tr w:rsidR="005A4EEE" w:rsidRPr="00FB5867" w:rsidTr="00BB2F58">
        <w:tc>
          <w:tcPr>
            <w:tcW w:w="1530" w:type="dxa"/>
          </w:tcPr>
          <w:p w:rsidR="005A4EEE" w:rsidRPr="00FB5867" w:rsidRDefault="005A4EEE" w:rsidP="00BB2F58">
            <w:pPr>
              <w:pStyle w:val="NoSpacing"/>
              <w:rPr>
                <w:sz w:val="20"/>
                <w:szCs w:val="20"/>
                <w:u w:val="single"/>
              </w:rPr>
            </w:pPr>
            <w:r w:rsidRPr="00FB5867">
              <w:rPr>
                <w:sz w:val="20"/>
                <w:szCs w:val="20"/>
                <w:u w:val="single"/>
              </w:rPr>
              <w:t>Envelope A</w:t>
            </w:r>
          </w:p>
          <w:p w:rsidR="005A4EEE" w:rsidRPr="00FB5867" w:rsidRDefault="005A4EEE" w:rsidP="00BB2F58">
            <w:pPr>
              <w:pStyle w:val="NoSpacing"/>
              <w:rPr>
                <w:sz w:val="20"/>
                <w:szCs w:val="20"/>
              </w:rPr>
            </w:pPr>
          </w:p>
        </w:tc>
        <w:tc>
          <w:tcPr>
            <w:tcW w:w="6750" w:type="dxa"/>
          </w:tcPr>
          <w:p w:rsidR="005A4EEE" w:rsidRPr="00FB5867" w:rsidRDefault="005A4EEE" w:rsidP="00BB2F58">
            <w:pPr>
              <w:pStyle w:val="NoSpacing"/>
              <w:rPr>
                <w:sz w:val="20"/>
                <w:szCs w:val="20"/>
              </w:rPr>
            </w:pPr>
          </w:p>
          <w:p w:rsidR="005A4EEE" w:rsidRPr="00FB5867" w:rsidRDefault="005A4EEE" w:rsidP="00BB2F58">
            <w:pPr>
              <w:pStyle w:val="NoSpacing"/>
              <w:rPr>
                <w:sz w:val="20"/>
                <w:szCs w:val="20"/>
              </w:rPr>
            </w:pPr>
            <w:r w:rsidRPr="00FB5867">
              <w:rPr>
                <w:sz w:val="20"/>
                <w:szCs w:val="20"/>
              </w:rPr>
              <w:t>EMD &amp; IPSD</w:t>
            </w:r>
          </w:p>
          <w:p w:rsidR="005A4EEE" w:rsidRPr="00FB5867" w:rsidRDefault="005A4EEE" w:rsidP="00BB2F58">
            <w:pPr>
              <w:pStyle w:val="NoSpacing"/>
              <w:rPr>
                <w:sz w:val="20"/>
                <w:szCs w:val="20"/>
              </w:rPr>
            </w:pPr>
            <w:r w:rsidRPr="00FB5867">
              <w:rPr>
                <w:sz w:val="20"/>
                <w:szCs w:val="20"/>
              </w:rPr>
              <w:t>Technical Bid documents. Viz Volume I</w:t>
            </w:r>
          </w:p>
        </w:tc>
      </w:tr>
      <w:tr w:rsidR="005A4EEE" w:rsidRPr="00FB5867" w:rsidTr="00BB2F58">
        <w:tc>
          <w:tcPr>
            <w:tcW w:w="1530" w:type="dxa"/>
          </w:tcPr>
          <w:p w:rsidR="005A4EEE" w:rsidRPr="00FB5867" w:rsidRDefault="005A4EEE" w:rsidP="00BB2F58">
            <w:pPr>
              <w:pStyle w:val="NoSpacing"/>
              <w:rPr>
                <w:sz w:val="20"/>
                <w:szCs w:val="20"/>
                <w:u w:val="single"/>
              </w:rPr>
            </w:pPr>
            <w:r w:rsidRPr="00FB5867">
              <w:rPr>
                <w:sz w:val="20"/>
                <w:szCs w:val="20"/>
                <w:u w:val="single"/>
              </w:rPr>
              <w:t>Envelope B</w:t>
            </w:r>
          </w:p>
        </w:tc>
        <w:tc>
          <w:tcPr>
            <w:tcW w:w="6750" w:type="dxa"/>
          </w:tcPr>
          <w:p w:rsidR="005A4EEE" w:rsidRPr="00FB5867" w:rsidRDefault="005A4EEE" w:rsidP="00BB2F58">
            <w:pPr>
              <w:pStyle w:val="NoSpacing"/>
              <w:rPr>
                <w:sz w:val="20"/>
                <w:szCs w:val="20"/>
              </w:rPr>
            </w:pPr>
            <w:r w:rsidRPr="00FB5867">
              <w:rPr>
                <w:sz w:val="20"/>
                <w:szCs w:val="20"/>
              </w:rPr>
              <w:t>Financial Bid documents viz.</w:t>
            </w:r>
          </w:p>
          <w:p w:rsidR="005A4EEE" w:rsidRPr="00FB5867" w:rsidRDefault="005A4EEE" w:rsidP="00BB2F58">
            <w:pPr>
              <w:pStyle w:val="NoSpacing"/>
              <w:jc w:val="both"/>
              <w:rPr>
                <w:sz w:val="20"/>
                <w:szCs w:val="20"/>
              </w:rPr>
            </w:pPr>
            <w:r w:rsidRPr="00FB5867">
              <w:rPr>
                <w:sz w:val="20"/>
                <w:szCs w:val="20"/>
              </w:rPr>
              <w:t>Notice Inviting Tender (NIT), Form of Tender, Technical Specifications, Scope of Work / Bill of Quantities (BOQ), Drawings. i.e. Volumes II, III, IV, V &amp; VI and tender drawings.</w:t>
            </w:r>
          </w:p>
          <w:p w:rsidR="005A4EEE" w:rsidRPr="00FB5867" w:rsidRDefault="005A4EEE" w:rsidP="00BB2F58">
            <w:pPr>
              <w:pStyle w:val="NoSpacing"/>
              <w:rPr>
                <w:sz w:val="20"/>
                <w:szCs w:val="20"/>
              </w:rPr>
            </w:pPr>
          </w:p>
        </w:tc>
      </w:tr>
    </w:tbl>
    <w:p w:rsidR="005A4EEE" w:rsidRPr="004E1AF3" w:rsidRDefault="005A4EEE" w:rsidP="005A4EEE">
      <w:pPr>
        <w:pStyle w:val="NoSpacing"/>
        <w:numPr>
          <w:ilvl w:val="0"/>
          <w:numId w:val="2"/>
        </w:numPr>
        <w:rPr>
          <w:sz w:val="20"/>
          <w:szCs w:val="20"/>
        </w:rPr>
      </w:pPr>
      <w:r w:rsidRPr="004E1AF3">
        <w:rPr>
          <w:sz w:val="20"/>
          <w:szCs w:val="20"/>
        </w:rPr>
        <w:t xml:space="preserve">Last date of Submission: </w:t>
      </w:r>
      <w:r>
        <w:rPr>
          <w:sz w:val="20"/>
          <w:szCs w:val="20"/>
          <w:lang w:val="uz-Latn-UZ"/>
        </w:rPr>
        <w:t xml:space="preserve"> Thursday, 28 January, 2016, by 3.00 p.m. </w:t>
      </w:r>
    </w:p>
    <w:p w:rsidR="005A4EEE" w:rsidRPr="004E1AF3" w:rsidRDefault="005A4EEE" w:rsidP="005A4EEE">
      <w:pPr>
        <w:pStyle w:val="NoSpacing"/>
        <w:rPr>
          <w:sz w:val="20"/>
          <w:szCs w:val="20"/>
        </w:rPr>
      </w:pPr>
    </w:p>
    <w:p w:rsidR="005A4EEE" w:rsidRPr="004E1AF3" w:rsidRDefault="005A4EEE" w:rsidP="005A4EEE">
      <w:pPr>
        <w:pStyle w:val="NoSpacing"/>
        <w:numPr>
          <w:ilvl w:val="0"/>
          <w:numId w:val="2"/>
        </w:numPr>
        <w:rPr>
          <w:sz w:val="20"/>
          <w:szCs w:val="20"/>
        </w:rPr>
      </w:pPr>
      <w:r w:rsidRPr="000149E8">
        <w:rPr>
          <w:b/>
          <w:bCs/>
          <w:sz w:val="20"/>
          <w:szCs w:val="20"/>
        </w:rPr>
        <w:t>Place of Receipt of Tender</w:t>
      </w:r>
      <w:r>
        <w:rPr>
          <w:sz w:val="20"/>
          <w:szCs w:val="20"/>
        </w:rPr>
        <w:t xml:space="preserve"> :</w:t>
      </w:r>
    </w:p>
    <w:p w:rsidR="005A4EEE" w:rsidRDefault="005A4EEE" w:rsidP="005A4EEE">
      <w:pPr>
        <w:pStyle w:val="NoSpacing"/>
        <w:ind w:firstLine="720"/>
        <w:rPr>
          <w:sz w:val="20"/>
          <w:szCs w:val="20"/>
        </w:rPr>
      </w:pPr>
    </w:p>
    <w:p w:rsidR="005A4EEE" w:rsidRPr="004E1AF3" w:rsidRDefault="005A4EEE" w:rsidP="005A4EEE">
      <w:pPr>
        <w:pStyle w:val="NoSpacing"/>
        <w:ind w:firstLine="720"/>
        <w:rPr>
          <w:sz w:val="20"/>
          <w:szCs w:val="20"/>
        </w:rPr>
      </w:pPr>
      <w:r w:rsidRPr="004E1AF3">
        <w:rPr>
          <w:sz w:val="20"/>
          <w:szCs w:val="20"/>
        </w:rPr>
        <w:t xml:space="preserve">First Secretary  </w:t>
      </w:r>
    </w:p>
    <w:p w:rsidR="005A4EEE" w:rsidRPr="004E1AF3" w:rsidRDefault="005A4EEE" w:rsidP="005A4EEE">
      <w:pPr>
        <w:pStyle w:val="NoSpacing"/>
        <w:ind w:firstLine="720"/>
        <w:rPr>
          <w:sz w:val="20"/>
          <w:szCs w:val="20"/>
        </w:rPr>
      </w:pPr>
      <w:r w:rsidRPr="004E1AF3">
        <w:rPr>
          <w:sz w:val="20"/>
          <w:szCs w:val="20"/>
        </w:rPr>
        <w:t>Embassy of India</w:t>
      </w:r>
      <w:r>
        <w:rPr>
          <w:sz w:val="20"/>
          <w:szCs w:val="20"/>
          <w:lang w:val="en-US"/>
        </w:rPr>
        <w:t xml:space="preserve">, </w:t>
      </w:r>
      <w:r w:rsidRPr="004E1AF3">
        <w:rPr>
          <w:sz w:val="20"/>
          <w:szCs w:val="20"/>
        </w:rPr>
        <w:t xml:space="preserve"> </w:t>
      </w:r>
    </w:p>
    <w:p w:rsidR="005A4EEE" w:rsidRPr="004E1AF3" w:rsidRDefault="005A4EEE" w:rsidP="005A4EEE">
      <w:pPr>
        <w:pStyle w:val="NoSpacing"/>
        <w:ind w:firstLine="720"/>
        <w:rPr>
          <w:sz w:val="20"/>
          <w:szCs w:val="20"/>
        </w:rPr>
      </w:pPr>
      <w:r w:rsidRPr="004E1AF3">
        <w:rPr>
          <w:sz w:val="20"/>
          <w:szCs w:val="20"/>
        </w:rPr>
        <w:t>15/16, Kara-Bulak (Vakhshkaya) Street,</w:t>
      </w:r>
    </w:p>
    <w:p w:rsidR="005A4EEE" w:rsidRPr="004E1AF3" w:rsidRDefault="005A4EEE" w:rsidP="005A4EEE">
      <w:pPr>
        <w:pStyle w:val="NoSpacing"/>
        <w:ind w:firstLine="720"/>
        <w:rPr>
          <w:sz w:val="20"/>
          <w:szCs w:val="20"/>
        </w:rPr>
      </w:pPr>
      <w:r w:rsidRPr="004E1AF3">
        <w:rPr>
          <w:sz w:val="20"/>
          <w:szCs w:val="20"/>
        </w:rPr>
        <w:t>Mirzo Ulugbek District,</w:t>
      </w:r>
    </w:p>
    <w:p w:rsidR="005A4EEE" w:rsidRPr="004E1AF3" w:rsidRDefault="005A4EEE" w:rsidP="005A4EEE">
      <w:pPr>
        <w:pStyle w:val="NoSpacing"/>
        <w:ind w:firstLine="720"/>
        <w:rPr>
          <w:sz w:val="20"/>
          <w:szCs w:val="20"/>
        </w:rPr>
      </w:pPr>
      <w:r>
        <w:rPr>
          <w:sz w:val="20"/>
          <w:szCs w:val="20"/>
        </w:rPr>
        <w:t>Tashkent – 1</w:t>
      </w:r>
      <w:r w:rsidRPr="004E1AF3">
        <w:rPr>
          <w:sz w:val="20"/>
          <w:szCs w:val="20"/>
        </w:rPr>
        <w:t>00 052, Republic of Uzbekistan.</w:t>
      </w:r>
    </w:p>
    <w:p w:rsidR="005A4EEE" w:rsidRPr="004E1AF3" w:rsidRDefault="005A4EEE" w:rsidP="005A4EEE">
      <w:pPr>
        <w:pStyle w:val="NoSpacing"/>
        <w:rPr>
          <w:sz w:val="20"/>
          <w:szCs w:val="20"/>
        </w:rPr>
      </w:pPr>
    </w:p>
    <w:p w:rsidR="005A4EEE" w:rsidRPr="004E1AF3" w:rsidRDefault="005A4EEE" w:rsidP="005A4EEE">
      <w:pPr>
        <w:pStyle w:val="NoSpacing"/>
        <w:numPr>
          <w:ilvl w:val="0"/>
          <w:numId w:val="2"/>
        </w:numPr>
        <w:jc w:val="both"/>
        <w:rPr>
          <w:sz w:val="20"/>
          <w:szCs w:val="20"/>
        </w:rPr>
      </w:pPr>
      <w:r w:rsidRPr="004E1AF3">
        <w:rPr>
          <w:sz w:val="20"/>
          <w:szCs w:val="20"/>
        </w:rPr>
        <w:t xml:space="preserve">The tenders </w:t>
      </w:r>
      <w:r>
        <w:rPr>
          <w:sz w:val="20"/>
          <w:szCs w:val="20"/>
          <w:lang w:val="en-US"/>
        </w:rPr>
        <w:t xml:space="preserve">(Technical Bid) </w:t>
      </w:r>
      <w:r w:rsidRPr="004E1AF3">
        <w:rPr>
          <w:sz w:val="20"/>
          <w:szCs w:val="20"/>
        </w:rPr>
        <w:t xml:space="preserve">shall be opened on the same day (viz </w:t>
      </w:r>
      <w:r>
        <w:rPr>
          <w:sz w:val="20"/>
          <w:szCs w:val="20"/>
          <w:lang w:val="uz-Latn-UZ"/>
        </w:rPr>
        <w:t>. Thursday, 28 January, 2016</w:t>
      </w:r>
      <w:r w:rsidRPr="003B51DE">
        <w:rPr>
          <w:b/>
          <w:bCs/>
          <w:sz w:val="28"/>
          <w:szCs w:val="28"/>
        </w:rPr>
        <w:t xml:space="preserve"> </w:t>
      </w:r>
      <w:r w:rsidRPr="00835BBE">
        <w:t>at 3:30 P.M.</w:t>
      </w:r>
      <w:r w:rsidRPr="004E1AF3">
        <w:rPr>
          <w:sz w:val="20"/>
          <w:szCs w:val="20"/>
        </w:rPr>
        <w:t xml:space="preserve">  Envelope A shall be opened first to ascertain Eligibility of the Bidder.  </w:t>
      </w:r>
      <w:r>
        <w:rPr>
          <w:sz w:val="20"/>
          <w:szCs w:val="20"/>
          <w:lang w:val="en-US"/>
        </w:rPr>
        <w:t xml:space="preserve"> </w:t>
      </w:r>
    </w:p>
    <w:p w:rsidR="005A4EEE" w:rsidRPr="004E1AF3" w:rsidRDefault="005A4EEE" w:rsidP="005A4EEE">
      <w:pPr>
        <w:pStyle w:val="NoSpacing"/>
        <w:rPr>
          <w:sz w:val="20"/>
          <w:szCs w:val="20"/>
        </w:rPr>
      </w:pPr>
    </w:p>
    <w:p w:rsidR="005A4EEE" w:rsidRPr="004E1AF3" w:rsidRDefault="005A4EEE" w:rsidP="005A4EEE">
      <w:pPr>
        <w:pStyle w:val="NoSpacing"/>
        <w:jc w:val="both"/>
        <w:rPr>
          <w:sz w:val="20"/>
          <w:szCs w:val="20"/>
        </w:rPr>
      </w:pPr>
      <w:r>
        <w:rPr>
          <w:sz w:val="20"/>
          <w:szCs w:val="20"/>
        </w:rPr>
        <w:t>1</w:t>
      </w:r>
      <w:r>
        <w:rPr>
          <w:sz w:val="20"/>
          <w:szCs w:val="20"/>
          <w:lang w:val="en-US"/>
        </w:rPr>
        <w:t>1</w:t>
      </w:r>
      <w:r>
        <w:rPr>
          <w:sz w:val="20"/>
          <w:szCs w:val="20"/>
        </w:rPr>
        <w:t xml:space="preserve">. </w:t>
      </w:r>
      <w:r w:rsidRPr="004E1AF3">
        <w:rPr>
          <w:sz w:val="20"/>
          <w:szCs w:val="20"/>
        </w:rPr>
        <w:t xml:space="preserve">If any information furnished by the applicant is found incorrect at a later stage, he/she shall be liable to be debarred from the tendering process.  The </w:t>
      </w:r>
      <w:r>
        <w:rPr>
          <w:sz w:val="20"/>
          <w:szCs w:val="20"/>
          <w:lang w:val="en-US"/>
        </w:rPr>
        <w:t>Embassy of India, Tashkent</w:t>
      </w:r>
      <w:r w:rsidRPr="004E1AF3">
        <w:rPr>
          <w:sz w:val="20"/>
          <w:szCs w:val="20"/>
        </w:rPr>
        <w:t xml:space="preserve"> reserves the right to verify the particulars furnished by the applicant independently.</w:t>
      </w:r>
    </w:p>
    <w:p w:rsidR="005A4EEE" w:rsidRPr="004E1AF3" w:rsidRDefault="005A4EEE" w:rsidP="005A4EEE">
      <w:pPr>
        <w:pStyle w:val="NoSpacing"/>
        <w:jc w:val="both"/>
        <w:rPr>
          <w:sz w:val="20"/>
          <w:szCs w:val="20"/>
        </w:rPr>
      </w:pPr>
    </w:p>
    <w:p w:rsidR="005A4EEE" w:rsidRPr="004E1AF3" w:rsidRDefault="005A4EEE" w:rsidP="005A4EEE">
      <w:pPr>
        <w:pStyle w:val="NoSpacing"/>
        <w:jc w:val="both"/>
        <w:rPr>
          <w:sz w:val="20"/>
          <w:szCs w:val="20"/>
        </w:rPr>
      </w:pPr>
      <w:r>
        <w:rPr>
          <w:sz w:val="20"/>
          <w:szCs w:val="20"/>
          <w:lang w:val="en-US"/>
        </w:rPr>
        <w:t xml:space="preserve">12. </w:t>
      </w:r>
      <w:r w:rsidRPr="004E1AF3">
        <w:rPr>
          <w:sz w:val="20"/>
          <w:szCs w:val="20"/>
        </w:rPr>
        <w:t>The Embassy of India, Tashkent reserves the right to reject any prospective application without assigning any reason and to restrict the list of pre-qualified contractors to any number deemed suitable by it.</w:t>
      </w:r>
    </w:p>
    <w:p w:rsidR="005A4EEE" w:rsidRPr="004E1AF3" w:rsidRDefault="005A4EEE" w:rsidP="005A4EEE">
      <w:pPr>
        <w:pStyle w:val="NoSpacing"/>
        <w:jc w:val="both"/>
        <w:rPr>
          <w:sz w:val="20"/>
          <w:szCs w:val="20"/>
        </w:rPr>
      </w:pPr>
    </w:p>
    <w:p w:rsidR="005A4EEE" w:rsidRPr="004E1AF3" w:rsidRDefault="005A4EEE" w:rsidP="005A4EEE">
      <w:pPr>
        <w:pStyle w:val="NoSpacing"/>
        <w:jc w:val="both"/>
        <w:rPr>
          <w:sz w:val="20"/>
          <w:szCs w:val="20"/>
        </w:rPr>
      </w:pPr>
      <w:r>
        <w:rPr>
          <w:sz w:val="20"/>
          <w:szCs w:val="20"/>
          <w:lang w:val="en-US"/>
        </w:rPr>
        <w:t xml:space="preserve">13. </w:t>
      </w:r>
      <w:r w:rsidRPr="004E1AF3">
        <w:rPr>
          <w:sz w:val="20"/>
          <w:szCs w:val="20"/>
        </w:rPr>
        <w:t xml:space="preserve">The tender notice is also published on </w:t>
      </w:r>
      <w:hyperlink r:id="rId6" w:history="1">
        <w:r w:rsidRPr="004E1AF3">
          <w:rPr>
            <w:rStyle w:val="Hyperlink"/>
            <w:sz w:val="20"/>
            <w:szCs w:val="20"/>
          </w:rPr>
          <w:t>www.eprocure.gov.in</w:t>
        </w:r>
      </w:hyperlink>
      <w:r w:rsidRPr="004E1AF3">
        <w:rPr>
          <w:sz w:val="20"/>
          <w:szCs w:val="20"/>
        </w:rPr>
        <w:t xml:space="preserve">, </w:t>
      </w:r>
      <w:hyperlink r:id="rId7" w:history="1">
        <w:r w:rsidRPr="004E1AF3">
          <w:rPr>
            <w:rStyle w:val="Hyperlink"/>
            <w:sz w:val="20"/>
            <w:szCs w:val="20"/>
          </w:rPr>
          <w:t>www.eoi.gov.in/tashkent</w:t>
        </w:r>
      </w:hyperlink>
      <w:r w:rsidRPr="004E1AF3">
        <w:rPr>
          <w:sz w:val="20"/>
          <w:szCs w:val="20"/>
        </w:rPr>
        <w:t xml:space="preserve">, and </w:t>
      </w:r>
      <w:hyperlink r:id="rId8" w:history="1">
        <w:r w:rsidRPr="004E1AF3">
          <w:rPr>
            <w:rStyle w:val="Hyperlink"/>
            <w:sz w:val="20"/>
            <w:szCs w:val="20"/>
          </w:rPr>
          <w:t>www.tenderweek.com</w:t>
        </w:r>
      </w:hyperlink>
      <w:r w:rsidRPr="004E1AF3">
        <w:rPr>
          <w:sz w:val="20"/>
          <w:szCs w:val="20"/>
        </w:rPr>
        <w:t xml:space="preserve">. </w:t>
      </w:r>
    </w:p>
    <w:p w:rsidR="005A4EEE" w:rsidRPr="004E1AF3" w:rsidRDefault="005A4EEE" w:rsidP="005A4EEE">
      <w:pPr>
        <w:pStyle w:val="NoSpacing"/>
        <w:rPr>
          <w:sz w:val="20"/>
          <w:szCs w:val="20"/>
        </w:rPr>
      </w:pPr>
    </w:p>
    <w:p w:rsidR="005A4EEE" w:rsidRPr="004E1AF3" w:rsidRDefault="005A4EEE" w:rsidP="005A4EEE">
      <w:pPr>
        <w:pStyle w:val="NoSpacing"/>
        <w:rPr>
          <w:sz w:val="20"/>
          <w:szCs w:val="20"/>
        </w:rPr>
      </w:pPr>
    </w:p>
    <w:p w:rsidR="005A4EEE" w:rsidRPr="004E1AF3" w:rsidRDefault="005A4EEE" w:rsidP="005A4EEE">
      <w:pPr>
        <w:pStyle w:val="NoSpacing"/>
        <w:rPr>
          <w:sz w:val="20"/>
          <w:szCs w:val="20"/>
        </w:rPr>
      </w:pPr>
      <w:r w:rsidRPr="004E1AF3">
        <w:rPr>
          <w:sz w:val="20"/>
          <w:szCs w:val="20"/>
        </w:rPr>
        <w:t>First Secretary,</w:t>
      </w:r>
    </w:p>
    <w:p w:rsidR="005A4EEE" w:rsidRPr="004E1AF3" w:rsidRDefault="005A4EEE" w:rsidP="005A4EEE">
      <w:pPr>
        <w:pStyle w:val="NoSpacing"/>
        <w:rPr>
          <w:sz w:val="20"/>
          <w:szCs w:val="20"/>
        </w:rPr>
      </w:pPr>
      <w:r w:rsidRPr="004E1AF3">
        <w:rPr>
          <w:sz w:val="20"/>
          <w:szCs w:val="20"/>
        </w:rPr>
        <w:t>Embassy of India,</w:t>
      </w:r>
    </w:p>
    <w:p w:rsidR="005A4EEE" w:rsidRDefault="005A4EEE" w:rsidP="005A4EEE">
      <w:pPr>
        <w:pStyle w:val="NoSpacing"/>
      </w:pPr>
      <w:r w:rsidRPr="004E1AF3">
        <w:rPr>
          <w:sz w:val="20"/>
          <w:szCs w:val="20"/>
        </w:rPr>
        <w:t>Tashkent, Uzbekistan</w:t>
      </w:r>
      <w:bookmarkStart w:id="0" w:name="_GoBack"/>
      <w:bookmarkEnd w:id="0"/>
    </w:p>
    <w:p w:rsidR="004A226F" w:rsidRDefault="004A226F"/>
    <w:sectPr w:rsidR="004A226F" w:rsidSect="004A22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A32AB"/>
    <w:multiLevelType w:val="hybridMultilevel"/>
    <w:tmpl w:val="4FBA0BEA"/>
    <w:lvl w:ilvl="0" w:tplc="04430019">
      <w:start w:val="1"/>
      <w:numFmt w:val="lowerLetter"/>
      <w:lvlText w:val="%1."/>
      <w:lvlJc w:val="left"/>
      <w:pPr>
        <w:ind w:left="720" w:hanging="360"/>
      </w:pPr>
      <w:rPr>
        <w:rFonts w:hint="default"/>
      </w:rPr>
    </w:lvl>
    <w:lvl w:ilvl="1" w:tplc="04430019" w:tentative="1">
      <w:start w:val="1"/>
      <w:numFmt w:val="lowerLetter"/>
      <w:lvlText w:val="%2."/>
      <w:lvlJc w:val="left"/>
      <w:pPr>
        <w:ind w:left="1440" w:hanging="360"/>
      </w:pPr>
    </w:lvl>
    <w:lvl w:ilvl="2" w:tplc="0443001B" w:tentative="1">
      <w:start w:val="1"/>
      <w:numFmt w:val="lowerRoman"/>
      <w:lvlText w:val="%3."/>
      <w:lvlJc w:val="right"/>
      <w:pPr>
        <w:ind w:left="2160" w:hanging="180"/>
      </w:pPr>
    </w:lvl>
    <w:lvl w:ilvl="3" w:tplc="0443000F" w:tentative="1">
      <w:start w:val="1"/>
      <w:numFmt w:val="decimal"/>
      <w:lvlText w:val="%4."/>
      <w:lvlJc w:val="left"/>
      <w:pPr>
        <w:ind w:left="2880" w:hanging="360"/>
      </w:pPr>
    </w:lvl>
    <w:lvl w:ilvl="4" w:tplc="04430019" w:tentative="1">
      <w:start w:val="1"/>
      <w:numFmt w:val="lowerLetter"/>
      <w:lvlText w:val="%5."/>
      <w:lvlJc w:val="left"/>
      <w:pPr>
        <w:ind w:left="3600" w:hanging="360"/>
      </w:pPr>
    </w:lvl>
    <w:lvl w:ilvl="5" w:tplc="0443001B" w:tentative="1">
      <w:start w:val="1"/>
      <w:numFmt w:val="lowerRoman"/>
      <w:lvlText w:val="%6."/>
      <w:lvlJc w:val="right"/>
      <w:pPr>
        <w:ind w:left="4320" w:hanging="180"/>
      </w:pPr>
    </w:lvl>
    <w:lvl w:ilvl="6" w:tplc="0443000F" w:tentative="1">
      <w:start w:val="1"/>
      <w:numFmt w:val="decimal"/>
      <w:lvlText w:val="%7."/>
      <w:lvlJc w:val="left"/>
      <w:pPr>
        <w:ind w:left="5040" w:hanging="360"/>
      </w:pPr>
    </w:lvl>
    <w:lvl w:ilvl="7" w:tplc="04430019" w:tentative="1">
      <w:start w:val="1"/>
      <w:numFmt w:val="lowerLetter"/>
      <w:lvlText w:val="%8."/>
      <w:lvlJc w:val="left"/>
      <w:pPr>
        <w:ind w:left="5760" w:hanging="360"/>
      </w:pPr>
    </w:lvl>
    <w:lvl w:ilvl="8" w:tplc="0443001B" w:tentative="1">
      <w:start w:val="1"/>
      <w:numFmt w:val="lowerRoman"/>
      <w:lvlText w:val="%9."/>
      <w:lvlJc w:val="right"/>
      <w:pPr>
        <w:ind w:left="6480" w:hanging="180"/>
      </w:pPr>
    </w:lvl>
  </w:abstractNum>
  <w:abstractNum w:abstractNumId="1">
    <w:nsid w:val="2C754CF7"/>
    <w:multiLevelType w:val="hybridMultilevel"/>
    <w:tmpl w:val="6D2CBC2A"/>
    <w:lvl w:ilvl="0" w:tplc="04430019">
      <w:start w:val="1"/>
      <w:numFmt w:val="lowerLetter"/>
      <w:lvlText w:val="%1."/>
      <w:lvlJc w:val="left"/>
      <w:pPr>
        <w:ind w:left="720" w:hanging="360"/>
      </w:pPr>
      <w:rPr>
        <w:rFonts w:hint="default"/>
      </w:rPr>
    </w:lvl>
    <w:lvl w:ilvl="1" w:tplc="04430019" w:tentative="1">
      <w:start w:val="1"/>
      <w:numFmt w:val="lowerLetter"/>
      <w:lvlText w:val="%2."/>
      <w:lvlJc w:val="left"/>
      <w:pPr>
        <w:ind w:left="1440" w:hanging="360"/>
      </w:pPr>
    </w:lvl>
    <w:lvl w:ilvl="2" w:tplc="0443001B" w:tentative="1">
      <w:start w:val="1"/>
      <w:numFmt w:val="lowerRoman"/>
      <w:lvlText w:val="%3."/>
      <w:lvlJc w:val="right"/>
      <w:pPr>
        <w:ind w:left="2160" w:hanging="180"/>
      </w:pPr>
    </w:lvl>
    <w:lvl w:ilvl="3" w:tplc="0443000F" w:tentative="1">
      <w:start w:val="1"/>
      <w:numFmt w:val="decimal"/>
      <w:lvlText w:val="%4."/>
      <w:lvlJc w:val="left"/>
      <w:pPr>
        <w:ind w:left="2880" w:hanging="360"/>
      </w:pPr>
    </w:lvl>
    <w:lvl w:ilvl="4" w:tplc="04430019" w:tentative="1">
      <w:start w:val="1"/>
      <w:numFmt w:val="lowerLetter"/>
      <w:lvlText w:val="%5."/>
      <w:lvlJc w:val="left"/>
      <w:pPr>
        <w:ind w:left="3600" w:hanging="360"/>
      </w:pPr>
    </w:lvl>
    <w:lvl w:ilvl="5" w:tplc="0443001B" w:tentative="1">
      <w:start w:val="1"/>
      <w:numFmt w:val="lowerRoman"/>
      <w:lvlText w:val="%6."/>
      <w:lvlJc w:val="right"/>
      <w:pPr>
        <w:ind w:left="4320" w:hanging="180"/>
      </w:pPr>
    </w:lvl>
    <w:lvl w:ilvl="6" w:tplc="0443000F" w:tentative="1">
      <w:start w:val="1"/>
      <w:numFmt w:val="decimal"/>
      <w:lvlText w:val="%7."/>
      <w:lvlJc w:val="left"/>
      <w:pPr>
        <w:ind w:left="5040" w:hanging="360"/>
      </w:pPr>
    </w:lvl>
    <w:lvl w:ilvl="7" w:tplc="04430019" w:tentative="1">
      <w:start w:val="1"/>
      <w:numFmt w:val="lowerLetter"/>
      <w:lvlText w:val="%8."/>
      <w:lvlJc w:val="left"/>
      <w:pPr>
        <w:ind w:left="5760" w:hanging="360"/>
      </w:pPr>
    </w:lvl>
    <w:lvl w:ilvl="8" w:tplc="044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EEE"/>
    <w:rsid w:val="00033F9D"/>
    <w:rsid w:val="001E43F6"/>
    <w:rsid w:val="004A226F"/>
    <w:rsid w:val="00561D01"/>
    <w:rsid w:val="005A4EEE"/>
    <w:rsid w:val="007E3D3C"/>
    <w:rsid w:val="007F6344"/>
    <w:rsid w:val="0086367D"/>
    <w:rsid w:val="00E227CC"/>
  </w:rsids>
  <m:mathPr>
    <m:mathFont m:val="Cambria Math"/>
    <m:brkBin m:val="before"/>
    <m:brkBinSub m:val="--"/>
    <m:smallFrac m:val="0"/>
    <m:dispDef/>
    <m:lMargin m:val="0"/>
    <m:rMargin m:val="0"/>
    <m:defJc m:val="centerGroup"/>
    <m:wrapIndent m:val="1440"/>
    <m:intLim m:val="subSup"/>
    <m:naryLim m:val="undOvr"/>
  </m:mathPr>
  <w:themeFontLang w:val="uz-Latn-UZ"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z-Latn-UZ" w:eastAsia="en-US" w:bidi="ar-SA"/>
      </w:rPr>
    </w:rPrDefault>
    <w:pPrDefault>
      <w:pPr>
        <w:ind w:right="43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EE"/>
    <w:pPr>
      <w:widowControl w:val="0"/>
      <w:autoSpaceDE w:val="0"/>
      <w:autoSpaceDN w:val="0"/>
      <w:adjustRightInd w:val="0"/>
      <w:ind w:right="0"/>
      <w:jc w:val="left"/>
    </w:pPr>
    <w:rPr>
      <w:rFonts w:ascii="Arial" w:eastAsia="Times New Roman"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4EEE"/>
    <w:pPr>
      <w:ind w:right="0"/>
      <w:jc w:val="left"/>
    </w:pPr>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rsid w:val="005A4E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z-Latn-UZ" w:eastAsia="en-US" w:bidi="ar-SA"/>
      </w:rPr>
    </w:rPrDefault>
    <w:pPrDefault>
      <w:pPr>
        <w:ind w:right="43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EE"/>
    <w:pPr>
      <w:widowControl w:val="0"/>
      <w:autoSpaceDE w:val="0"/>
      <w:autoSpaceDN w:val="0"/>
      <w:adjustRightInd w:val="0"/>
      <w:ind w:right="0"/>
      <w:jc w:val="left"/>
    </w:pPr>
    <w:rPr>
      <w:rFonts w:ascii="Arial" w:eastAsia="Times New Roman"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4EEE"/>
    <w:pPr>
      <w:ind w:right="0"/>
      <w:jc w:val="left"/>
    </w:pPr>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rsid w:val="005A4E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nderweek.com" TargetMode="External"/><Relationship Id="rId3" Type="http://schemas.microsoft.com/office/2007/relationships/stylesWithEffects" Target="stylesWithEffects.xml"/><Relationship Id="rId7" Type="http://schemas.openxmlformats.org/officeDocument/2006/relationships/hyperlink" Target="http://www.eoi.gov.in/tashk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rocure.gov.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Indian Embassy</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Babu</dc:creator>
  <cp:lastModifiedBy>User</cp:lastModifiedBy>
  <cp:revision>2</cp:revision>
  <dcterms:created xsi:type="dcterms:W3CDTF">2015-12-28T05:37:00Z</dcterms:created>
  <dcterms:modified xsi:type="dcterms:W3CDTF">2015-12-28T05:37:00Z</dcterms:modified>
</cp:coreProperties>
</file>