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0C2780" w:rsidRPr="006E4DD3" w:rsidTr="00D26F9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C2780" w:rsidRPr="006E4DD3" w:rsidRDefault="000C2780" w:rsidP="00D26F9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C2780" w:rsidRPr="006E4DD3" w:rsidRDefault="000C2780" w:rsidP="00D26F9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C2780" w:rsidRDefault="000C2780" w:rsidP="000C2780">
      <w:pPr>
        <w:jc w:val="center"/>
        <w:rPr>
          <w:rFonts w:ascii="Bookman Old Style" w:hAnsi="Bookman Old Style" w:cs="Arial"/>
          <w:sz w:val="28"/>
          <w:szCs w:val="28"/>
          <w:u w:val="single"/>
        </w:rPr>
      </w:pPr>
    </w:p>
    <w:p w:rsidR="00055E98" w:rsidRPr="00E97565" w:rsidRDefault="00055E98" w:rsidP="000C2780">
      <w:pPr>
        <w:jc w:val="center"/>
        <w:rPr>
          <w:rFonts w:ascii="Bookman Old Style" w:hAnsi="Bookman Old Style" w:cs="Arial"/>
          <w:sz w:val="28"/>
          <w:szCs w:val="28"/>
        </w:rPr>
      </w:pPr>
      <w:r w:rsidRPr="00E97565">
        <w:rPr>
          <w:rFonts w:ascii="Bookman Old Style" w:hAnsi="Bookman Old Style" w:cs="Arial"/>
          <w:sz w:val="28"/>
          <w:szCs w:val="28"/>
          <w:u w:val="single"/>
        </w:rPr>
        <w:t>Press Release</w:t>
      </w:r>
    </w:p>
    <w:p w:rsidR="00055E98" w:rsidRDefault="00055E98" w:rsidP="00055E98">
      <w:pPr>
        <w:spacing w:line="360" w:lineRule="auto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sz w:val="28"/>
          <w:szCs w:val="28"/>
        </w:rPr>
        <w:tab/>
        <w:t xml:space="preserve">Since 2009, the Embassy has set-up </w:t>
      </w:r>
      <w:r w:rsidRPr="00E97565">
        <w:rPr>
          <w:rFonts w:ascii="Bookman Old Style" w:hAnsi="Bookman Old Style" w:cs="Arial"/>
          <w:sz w:val="28"/>
          <w:szCs w:val="28"/>
        </w:rPr>
        <w:t>an Indian Community Welfare Fund (ICWF)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E97565">
        <w:rPr>
          <w:rFonts w:ascii="Bookman Old Style" w:hAnsi="Bookman Old Style" w:cs="Arial"/>
          <w:sz w:val="28"/>
          <w:szCs w:val="28"/>
        </w:rPr>
        <w:t xml:space="preserve">to provide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assistance</w:t>
      </w:r>
      <w:r w:rsidRPr="00E97565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to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I</w:t>
      </w:r>
      <w:r w:rsidRPr="00E97565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ndian community, on a means tested basis in most deserving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cases. Following services are rendered under ICWF:</w:t>
      </w:r>
    </w:p>
    <w:p w:rsidR="00055E98" w:rsidRPr="00E97565" w:rsidRDefault="00055E98" w:rsidP="00055E98">
      <w:pPr>
        <w:spacing w:line="360" w:lineRule="auto"/>
        <w:jc w:val="both"/>
        <w:rPr>
          <w:rStyle w:val="Strong"/>
          <w:rFonts w:ascii="Bookman Old Style" w:hAnsi="Bookman Old Style" w:cs="Arial"/>
          <w:b w:val="0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) </w:t>
      </w:r>
      <w:r w:rsidRPr="00E97565">
        <w:rPr>
          <w:rStyle w:val="Strong"/>
          <w:rFonts w:ascii="Bookman Old Style" w:hAnsi="Bookman Old Style" w:cs="Arial"/>
          <w:b w:val="0"/>
          <w:color w:val="000000"/>
          <w:sz w:val="28"/>
          <w:szCs w:val="28"/>
        </w:rPr>
        <w:t xml:space="preserve">Boarding and lodging for distressed overseas Indian workers in Household / domestic sectors and unskilled workers; </w:t>
      </w:r>
      <w:r>
        <w:rPr>
          <w:rStyle w:val="Strong"/>
          <w:rFonts w:ascii="Bookman Old Style" w:hAnsi="Bookman Old Style" w:cs="Arial"/>
          <w:b w:val="0"/>
          <w:color w:val="000000"/>
          <w:sz w:val="28"/>
          <w:szCs w:val="28"/>
        </w:rPr>
        <w:t xml:space="preserve">(ii) </w:t>
      </w:r>
      <w:r w:rsidRPr="00E97565">
        <w:rPr>
          <w:rStyle w:val="Strong"/>
          <w:rFonts w:ascii="Bookman Old Style" w:hAnsi="Bookman Old Style" w:cs="Arial"/>
          <w:b w:val="0"/>
          <w:color w:val="000000"/>
          <w:sz w:val="28"/>
          <w:szCs w:val="28"/>
        </w:rPr>
        <w:t>extending emergency medical care to the overseas Indians in need;</w:t>
      </w:r>
      <w:r>
        <w:rPr>
          <w:rStyle w:val="Strong"/>
          <w:rFonts w:ascii="Bookman Old Style" w:hAnsi="Bookman Old Style" w:cs="Arial"/>
          <w:b w:val="0"/>
          <w:color w:val="000000"/>
          <w:sz w:val="28"/>
          <w:szCs w:val="28"/>
        </w:rPr>
        <w:t xml:space="preserve"> (iii)</w:t>
      </w:r>
      <w:r w:rsidRPr="00E97565">
        <w:rPr>
          <w:rStyle w:val="Strong"/>
          <w:rFonts w:ascii="Bookman Old Style" w:hAnsi="Bookman Old Style" w:cs="Arial"/>
          <w:b w:val="0"/>
          <w:color w:val="000000"/>
          <w:sz w:val="28"/>
          <w:szCs w:val="28"/>
        </w:rPr>
        <w:t xml:space="preserve"> providing air passage to stranded overseas Indians in need;</w:t>
      </w:r>
      <w:r w:rsidRPr="00E97565">
        <w:rPr>
          <w:rFonts w:ascii="Bookman Old Style" w:hAnsi="Bookman Old Style" w:cs="Arial"/>
          <w:b/>
          <w:color w:val="000000"/>
          <w:sz w:val="28"/>
          <w:szCs w:val="28"/>
        </w:rPr>
        <w:t xml:space="preserve"> </w:t>
      </w:r>
      <w:r w:rsidRPr="00764C82">
        <w:rPr>
          <w:rFonts w:ascii="Bookman Old Style" w:hAnsi="Bookman Old Style" w:cs="Arial"/>
          <w:bCs/>
          <w:color w:val="000000"/>
          <w:sz w:val="28"/>
          <w:szCs w:val="28"/>
        </w:rPr>
        <w:t>(iv)</w:t>
      </w:r>
      <w:r>
        <w:rPr>
          <w:rFonts w:ascii="Bookman Old Style" w:hAnsi="Bookman Old Style" w:cs="Arial"/>
          <w:b/>
          <w:color w:val="000000"/>
          <w:sz w:val="28"/>
          <w:szCs w:val="28"/>
        </w:rPr>
        <w:t xml:space="preserve"> </w:t>
      </w:r>
      <w:r w:rsidRPr="00E97565">
        <w:rPr>
          <w:rStyle w:val="Strong"/>
          <w:rFonts w:ascii="Bookman Old Style" w:hAnsi="Bookman Old Style" w:cs="Arial"/>
          <w:b w:val="0"/>
          <w:color w:val="000000"/>
          <w:sz w:val="28"/>
          <w:szCs w:val="28"/>
        </w:rPr>
        <w:t>providing initial legal assistance to the overseas Indians in deserving cases,</w:t>
      </w:r>
      <w:r w:rsidRPr="00E97565">
        <w:rPr>
          <w:rStyle w:val="apple-converted-space"/>
          <w:rFonts w:ascii="Bookman Old Style" w:hAnsi="Bookman Old Style" w:cs="Arial"/>
          <w:b/>
          <w:bCs/>
          <w:color w:val="000000"/>
          <w:sz w:val="28"/>
          <w:szCs w:val="28"/>
        </w:rPr>
        <w:t> </w:t>
      </w:r>
      <w:r w:rsidRPr="00E97565">
        <w:rPr>
          <w:rFonts w:ascii="Bookman Old Style" w:hAnsi="Bookman Old Style" w:cs="Arial"/>
          <w:b/>
          <w:color w:val="000000"/>
          <w:sz w:val="28"/>
          <w:szCs w:val="28"/>
        </w:rPr>
        <w:t xml:space="preserve"> </w:t>
      </w:r>
      <w:r w:rsidRPr="00764C82">
        <w:rPr>
          <w:rFonts w:ascii="Bookman Old Style" w:hAnsi="Bookman Old Style" w:cs="Arial"/>
          <w:bCs/>
          <w:color w:val="000000"/>
          <w:sz w:val="28"/>
          <w:szCs w:val="28"/>
        </w:rPr>
        <w:t>and; (v)</w:t>
      </w:r>
      <w:r w:rsidRPr="00E97565">
        <w:rPr>
          <w:rFonts w:ascii="Bookman Old Style" w:hAnsi="Bookman Old Style" w:cs="Arial"/>
          <w:b/>
          <w:color w:val="000000"/>
          <w:sz w:val="28"/>
          <w:szCs w:val="28"/>
        </w:rPr>
        <w:t xml:space="preserve"> </w:t>
      </w:r>
      <w:r w:rsidRPr="00E97565">
        <w:rPr>
          <w:rStyle w:val="Strong"/>
          <w:rFonts w:ascii="Bookman Old Style" w:hAnsi="Bookman Old Style" w:cs="Arial"/>
          <w:b w:val="0"/>
          <w:color w:val="000000"/>
          <w:sz w:val="28"/>
          <w:szCs w:val="28"/>
        </w:rPr>
        <w:t>incurring expenditure on incidentals and</w:t>
      </w:r>
      <w:r w:rsidRPr="00E97565">
        <w:rPr>
          <w:rStyle w:val="apple-converted-space"/>
          <w:rFonts w:ascii="Bookman Old Style" w:hAnsi="Bookman Old Style" w:cs="Arial"/>
          <w:b/>
          <w:bCs/>
          <w:color w:val="000000"/>
          <w:sz w:val="28"/>
          <w:szCs w:val="28"/>
        </w:rPr>
        <w:t> </w:t>
      </w:r>
      <w:r w:rsidRPr="00E97565">
        <w:rPr>
          <w:rStyle w:val="Strong"/>
          <w:rFonts w:ascii="Bookman Old Style" w:hAnsi="Bookman Old Style" w:cs="Arial"/>
          <w:b w:val="0"/>
          <w:color w:val="000000"/>
          <w:sz w:val="28"/>
          <w:szCs w:val="28"/>
        </w:rPr>
        <w:t>for airlifting the mortal remains to India or local cremation/burial of the deceased overseas Indian in such cases where a sponsor is unable or unwilling to do so as per the contract and the family is unable to meet the cost.</w:t>
      </w:r>
    </w:p>
    <w:p w:rsidR="00055E98" w:rsidRPr="00E97565" w:rsidRDefault="00055E98" w:rsidP="00055E98">
      <w:pPr>
        <w:spacing w:line="360" w:lineRule="auto"/>
        <w:jc w:val="both"/>
        <w:rPr>
          <w:rFonts w:ascii="Bookman Old Style" w:hAnsi="Bookman Old Style" w:cs="Arial"/>
          <w:bCs/>
          <w:color w:val="000000"/>
          <w:sz w:val="28"/>
          <w:szCs w:val="28"/>
        </w:rPr>
      </w:pPr>
      <w:r>
        <w:rPr>
          <w:rFonts w:ascii="Bookman Old Style" w:hAnsi="Bookman Old Style" w:cs="Arial"/>
          <w:bCs/>
          <w:color w:val="000000"/>
          <w:sz w:val="28"/>
          <w:szCs w:val="28"/>
        </w:rPr>
        <w:t>2</w:t>
      </w:r>
      <w:r w:rsidRPr="00E97565">
        <w:rPr>
          <w:rFonts w:ascii="Bookman Old Style" w:hAnsi="Bookman Old Style" w:cs="Arial"/>
          <w:bCs/>
          <w:color w:val="000000"/>
          <w:sz w:val="28"/>
          <w:szCs w:val="28"/>
        </w:rPr>
        <w:t>.</w:t>
      </w:r>
      <w:r w:rsidRPr="00E97565">
        <w:rPr>
          <w:rFonts w:ascii="Bookman Old Style" w:hAnsi="Bookman Old Style" w:cs="Arial"/>
          <w:bCs/>
          <w:color w:val="000000"/>
          <w:sz w:val="28"/>
          <w:szCs w:val="28"/>
        </w:rPr>
        <w:tab/>
      </w:r>
      <w:r>
        <w:rPr>
          <w:rFonts w:ascii="Bookman Old Style" w:hAnsi="Bookman Old Style" w:cs="Arial"/>
          <w:bCs/>
          <w:color w:val="000000"/>
          <w:sz w:val="28"/>
          <w:szCs w:val="28"/>
        </w:rPr>
        <w:t xml:space="preserve">The </w:t>
      </w:r>
      <w:r w:rsidRPr="00E97565">
        <w:rPr>
          <w:rFonts w:ascii="Bookman Old Style" w:hAnsi="Bookman Old Style" w:cs="Arial"/>
          <w:bCs/>
          <w:color w:val="000000"/>
          <w:sz w:val="28"/>
          <w:szCs w:val="28"/>
        </w:rPr>
        <w:t>Embassy has been utilizing the funds under ICWF for providing required assistance to distressed</w:t>
      </w:r>
      <w:r>
        <w:rPr>
          <w:rFonts w:ascii="Bookman Old Style" w:hAnsi="Bookman Old Style" w:cs="Arial"/>
          <w:bCs/>
          <w:color w:val="000000"/>
          <w:sz w:val="28"/>
          <w:szCs w:val="28"/>
        </w:rPr>
        <w:t xml:space="preserve"> Indian</w:t>
      </w:r>
      <w:r w:rsidRPr="00E97565">
        <w:rPr>
          <w:rFonts w:ascii="Bookman Old Style" w:hAnsi="Bookman Old Style" w:cs="Arial"/>
          <w:bCs/>
          <w:color w:val="000000"/>
          <w:sz w:val="28"/>
          <w:szCs w:val="28"/>
        </w:rPr>
        <w:t xml:space="preserve"> workers as per guidelines prescribed. The details of amount spent from ICWF and the total number of beneficiaries and cases of transportation of </w:t>
      </w:r>
      <w:r w:rsidRPr="00E97565">
        <w:rPr>
          <w:rFonts w:ascii="Bookman Old Style" w:hAnsi="Bookman Old Style" w:cs="Arial"/>
          <w:bCs/>
          <w:color w:val="000000"/>
          <w:sz w:val="28"/>
          <w:szCs w:val="28"/>
        </w:rPr>
        <w:lastRenderedPageBreak/>
        <w:t>mortal remains assisted from 2009 till July 2015 are given below for information.</w:t>
      </w:r>
    </w:p>
    <w:p w:rsidR="00055E98" w:rsidRPr="00E97565" w:rsidRDefault="00055E98" w:rsidP="00055E98">
      <w:p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998"/>
        <w:gridCol w:w="2609"/>
        <w:gridCol w:w="2520"/>
        <w:gridCol w:w="2431"/>
      </w:tblGrid>
      <w:tr w:rsidR="00055E98" w:rsidRPr="00E97565" w:rsidTr="00D21EED">
        <w:tc>
          <w:tcPr>
            <w:tcW w:w="9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055E98" w:rsidRPr="00E97565" w:rsidRDefault="00055E98" w:rsidP="00D21EED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ICWF e</w:t>
            </w:r>
            <w:r w:rsidRPr="00E97565">
              <w:rPr>
                <w:rFonts w:ascii="Bookman Old Style" w:hAnsi="Bookman Old Style" w:cs="Arial"/>
                <w:sz w:val="28"/>
                <w:szCs w:val="28"/>
              </w:rPr>
              <w:t>xpenditure</w:t>
            </w:r>
          </w:p>
          <w:p w:rsidR="00055E98" w:rsidRPr="00E97565" w:rsidRDefault="00055E98" w:rsidP="00D21EED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(January 2009 – July 2015)</w:t>
            </w:r>
          </w:p>
          <w:p w:rsidR="00055E98" w:rsidRPr="00E97565" w:rsidRDefault="00055E98" w:rsidP="00D21EED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055E98" w:rsidRPr="00E97565" w:rsidTr="00D21EE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Year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Total amount of money spent</w:t>
            </w:r>
          </w:p>
          <w:p w:rsidR="00055E98" w:rsidRPr="00E97565" w:rsidRDefault="00055E98" w:rsidP="00D21EED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(Indian Rupees)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Total number of persons who benefited from ICWF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Cases of Transportation of Mortal Remains under ICWF</w:t>
            </w:r>
          </w:p>
          <w:p w:rsidR="00055E98" w:rsidRPr="00E97565" w:rsidRDefault="00055E98" w:rsidP="00D21EED">
            <w:pPr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055E98" w:rsidRPr="00E97565" w:rsidTr="00D21EE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2009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83,54,000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772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46</w:t>
            </w:r>
          </w:p>
        </w:tc>
      </w:tr>
      <w:tr w:rsidR="00055E98" w:rsidRPr="00E97565" w:rsidTr="00D21EE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2010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35,02,000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653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43</w:t>
            </w:r>
          </w:p>
        </w:tc>
      </w:tr>
      <w:tr w:rsidR="00055E98" w:rsidRPr="00E97565" w:rsidTr="00D21EE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2011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77,63,000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1,078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45</w:t>
            </w:r>
          </w:p>
        </w:tc>
      </w:tr>
      <w:tr w:rsidR="00055E98" w:rsidRPr="00E97565" w:rsidTr="00D21EE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2012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65,43,000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1,037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32</w:t>
            </w:r>
          </w:p>
        </w:tc>
      </w:tr>
      <w:tr w:rsidR="00055E98" w:rsidRPr="00E97565" w:rsidTr="00D21EE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2013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90,37,000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790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24</w:t>
            </w:r>
          </w:p>
        </w:tc>
      </w:tr>
      <w:tr w:rsidR="00055E98" w:rsidRPr="00E97565" w:rsidTr="00D21EE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2014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90,94,000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1,141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29</w:t>
            </w:r>
          </w:p>
        </w:tc>
      </w:tr>
      <w:tr w:rsidR="00055E98" w:rsidRPr="00E97565" w:rsidTr="00D21EE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Jan-July 2015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31,03,000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443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spacing w:line="360" w:lineRule="auto"/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19</w:t>
            </w:r>
          </w:p>
        </w:tc>
      </w:tr>
      <w:tr w:rsidR="00055E98" w:rsidRPr="00E97565" w:rsidTr="00D21EE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98" w:rsidRPr="00E97565" w:rsidRDefault="00055E98" w:rsidP="00D21EED">
            <w:pPr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055E98" w:rsidRPr="00E97565" w:rsidRDefault="00055E98" w:rsidP="00D21EED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 xml:space="preserve">Total 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055E98" w:rsidRPr="00E97565" w:rsidRDefault="00055E98" w:rsidP="00D21EED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4,73,96,000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055E98" w:rsidRPr="00E97565" w:rsidRDefault="00055E98" w:rsidP="00D21EED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5,914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98" w:rsidRPr="00E97565" w:rsidRDefault="00055E98" w:rsidP="00D21EED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055E98" w:rsidRPr="00E97565" w:rsidRDefault="00055E98" w:rsidP="00D21EED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E97565">
              <w:rPr>
                <w:rFonts w:ascii="Bookman Old Style" w:hAnsi="Bookman Old Style" w:cs="Arial"/>
                <w:sz w:val="28"/>
                <w:szCs w:val="28"/>
              </w:rPr>
              <w:t>238</w:t>
            </w:r>
          </w:p>
          <w:p w:rsidR="00055E98" w:rsidRPr="00E97565" w:rsidRDefault="00055E98" w:rsidP="00D21EED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</w:tbl>
    <w:p w:rsidR="00055E98" w:rsidRPr="00E97565" w:rsidRDefault="00055E98" w:rsidP="00055E98">
      <w:pPr>
        <w:rPr>
          <w:rFonts w:ascii="Bookman Old Style" w:hAnsi="Bookman Old Style"/>
          <w:sz w:val="28"/>
          <w:szCs w:val="28"/>
        </w:rPr>
      </w:pPr>
    </w:p>
    <w:p w:rsidR="00055E98" w:rsidRPr="00E97565" w:rsidRDefault="00055E98" w:rsidP="00055E98">
      <w:pPr>
        <w:spacing w:after="0" w:line="240" w:lineRule="auto"/>
        <w:jc w:val="right"/>
        <w:rPr>
          <w:rFonts w:ascii="Bookman Old Style" w:hAnsi="Bookman Old Style" w:cs="Arial"/>
          <w:sz w:val="28"/>
          <w:szCs w:val="28"/>
        </w:rPr>
      </w:pPr>
    </w:p>
    <w:p w:rsidR="00055E98" w:rsidRPr="000C2780" w:rsidRDefault="003E5C19" w:rsidP="00055E98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6</w:t>
      </w:r>
      <w:r w:rsidR="00055E98" w:rsidRPr="000C2780">
        <w:rPr>
          <w:rFonts w:ascii="Bookman Old Style" w:hAnsi="Bookman Old Style" w:cs="Arial"/>
          <w:b/>
          <w:sz w:val="28"/>
          <w:szCs w:val="28"/>
        </w:rPr>
        <w:t xml:space="preserve"> August 2015</w:t>
      </w:r>
    </w:p>
    <w:p w:rsidR="008E1B38" w:rsidRDefault="008E1B38"/>
    <w:sectPr w:rsidR="008E1B38" w:rsidSect="0041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055E98"/>
    <w:rsid w:val="00055E98"/>
    <w:rsid w:val="000C2780"/>
    <w:rsid w:val="003E5C19"/>
    <w:rsid w:val="004B306A"/>
    <w:rsid w:val="008E1B38"/>
    <w:rsid w:val="00C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5E98"/>
    <w:rPr>
      <w:b/>
      <w:bCs/>
    </w:rPr>
  </w:style>
  <w:style w:type="character" w:customStyle="1" w:styleId="apple-converted-space">
    <w:name w:val="apple-converted-space"/>
    <w:basedOn w:val="DefaultParagraphFont"/>
    <w:rsid w:val="00055E98"/>
  </w:style>
  <w:style w:type="paragraph" w:styleId="NormalWeb">
    <w:name w:val="Normal (Web)"/>
    <w:basedOn w:val="Normal"/>
    <w:rsid w:val="000C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2015-08-06T12:29:00Z</dcterms:created>
  <dcterms:modified xsi:type="dcterms:W3CDTF">2015-08-06T15:08:00Z</dcterms:modified>
</cp:coreProperties>
</file>